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7A" w:rsidRDefault="00312A7A" w:rsidP="00990A0B"/>
    <w:tbl>
      <w:tblPr>
        <w:tblW w:w="5594" w:type="pct"/>
        <w:tblCellSpacing w:w="0" w:type="dxa"/>
        <w:tblInd w:w="-239" w:type="dxa"/>
        <w:tblLayout w:type="fixed"/>
        <w:tblCellMar>
          <w:top w:w="45" w:type="dxa"/>
          <w:left w:w="45" w:type="dxa"/>
          <w:bottom w:w="45" w:type="dxa"/>
          <w:right w:w="45" w:type="dxa"/>
        </w:tblCellMar>
        <w:tblLook w:val="04A0" w:firstRow="1" w:lastRow="0" w:firstColumn="1" w:lastColumn="0" w:noHBand="0" w:noVBand="1"/>
      </w:tblPr>
      <w:tblGrid>
        <w:gridCol w:w="745"/>
        <w:gridCol w:w="7806"/>
        <w:gridCol w:w="1699"/>
      </w:tblGrid>
      <w:tr w:rsidR="00990A0B" w:rsidRPr="00990A0B" w:rsidTr="00990A0B">
        <w:trPr>
          <w:gridAfter w:val="1"/>
          <w:wAfter w:w="829" w:type="pct"/>
          <w:tblCellSpacing w:w="0" w:type="dxa"/>
        </w:trPr>
        <w:tc>
          <w:tcPr>
            <w:tcW w:w="363" w:type="pct"/>
            <w:vAlign w:val="center"/>
          </w:tcPr>
          <w:p w:rsidR="00990A0B" w:rsidRPr="00990A0B" w:rsidRDefault="00990A0B" w:rsidP="00990A0B">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p>
        </w:tc>
        <w:tc>
          <w:tcPr>
            <w:tcW w:w="3808" w:type="pct"/>
            <w:vAlign w:val="center"/>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bookmarkStart w:id="0" w:name="inhalt"/>
            <w:bookmarkEnd w:id="0"/>
          </w:p>
        </w:tc>
        <w:tc>
          <w:tcPr>
            <w:tcW w:w="3808" w:type="pct"/>
            <w:vAlign w:val="center"/>
            <w:hideMark/>
          </w:tcPr>
          <w:p w:rsidR="00990A0B" w:rsidRPr="00990A0B" w:rsidRDefault="00990A0B" w:rsidP="006B4277">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Eigene Erfahrung mit der Geldanlage </w:t>
            </w:r>
          </w:p>
          <w:p w:rsidR="00990A0B" w:rsidRPr="00990A0B" w:rsidRDefault="00990A0B" w:rsidP="006B4277">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color w:val="0000FF"/>
                <w:kern w:val="0"/>
                <w:u w:val="single"/>
                <w:lang w:eastAsia="de-DE"/>
                <w14:ligatures w14:val="none"/>
              </w:rPr>
              <w:t>c_geldanlage_erfahrung.html</w:t>
            </w:r>
            <w:r w:rsidR="001309C0">
              <w:rPr>
                <w:rFonts w:ascii="Times New Roman" w:eastAsia="Times New Roman" w:hAnsi="Times New Roman" w:cs="Times New Roman"/>
                <w:kern w:val="0"/>
                <w:lang w:eastAsia="de-DE"/>
                <w14:ligatures w14:val="none"/>
              </w:rPr>
              <w:t xml:space="preserve"> 04.09</w:t>
            </w:r>
            <w:r w:rsidRPr="00990A0B">
              <w:rPr>
                <w:rFonts w:ascii="Times New Roman" w:eastAsia="Times New Roman" w:hAnsi="Times New Roman" w:cs="Times New Roman"/>
                <w:kern w:val="0"/>
                <w:lang w:eastAsia="de-DE"/>
                <w14:ligatures w14:val="none"/>
              </w:rPr>
              <w:t>.2024 22:30</w:t>
            </w:r>
          </w:p>
          <w:p w:rsidR="00990A0B" w:rsidRPr="00990A0B" w:rsidRDefault="00990A0B" w:rsidP="006B4277">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w:t>
            </w:r>
          </w:p>
        </w:tc>
        <w:tc>
          <w:tcPr>
            <w:tcW w:w="829" w:type="pct"/>
            <w:vAlign w:val="center"/>
            <w:hideMark/>
          </w:tcPr>
          <w:p w:rsidR="00990A0B" w:rsidRPr="00990A0B" w:rsidRDefault="00990A0B" w:rsidP="006B4277">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1.</w:t>
            </w:r>
            <w:hyperlink r:id="rId6" w:anchor="inhalt" w:history="1">
              <w:r w:rsidRPr="00990A0B">
                <w:rPr>
                  <w:rFonts w:ascii="Times New Roman" w:eastAsia="Times New Roman" w:hAnsi="Times New Roman" w:cs="Times New Roman"/>
                  <w:color w:val="0000FF"/>
                  <w:kern w:val="0"/>
                  <w:u w:val="single"/>
                  <w:lang w:eastAsia="de-DE"/>
                  <w14:ligatures w14:val="none"/>
                </w:rPr>
                <w:t xml:space="preserve"> </w:t>
              </w:r>
              <w:r>
                <w:rPr>
                  <w:rFonts w:ascii="Times New Roman" w:eastAsia="Times New Roman" w:hAnsi="Times New Roman" w:cs="Times New Roman"/>
                  <w:noProof/>
                  <w:color w:val="0000FF"/>
                  <w:kern w:val="0"/>
                  <w:lang w:eastAsia="de-DE"/>
                </w:rPr>
                <w:drawing>
                  <wp:inline distT="0" distB="0" distL="0" distR="0" wp14:anchorId="524F64B3" wp14:editId="4AD71984">
                    <wp:extent cx="114300" cy="114300"/>
                    <wp:effectExtent l="0" t="0" r="0" b="0"/>
                    <wp:docPr id="29" name="Grafik 29"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Einleitung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Seit 2018 wird die auf Geldanlagen Abgeltungssteuer genannt und von den Banken berechnet und an das Finanzamt abgeführt. Das gilt zunächst erst einmal für Gewinne aus Dividenden, die an den Anleger fließen. Er braucht dann dafür keine weiteren Steuern bei der jährlichen Einkommenssteuer zu bezahlen. Das gilt aber auch für Dividenden, die in akkumulierende Geldanlagen nicht ausgezahlt, sondern wiederum weiter angelegt werden. Somit sind auch diese Gewinne steuerlich gleich behandelt. </w:t>
            </w:r>
            <w:r w:rsidRPr="00990A0B">
              <w:rPr>
                <w:rFonts w:ascii="Times New Roman" w:eastAsia="Times New Roman" w:hAnsi="Times New Roman" w:cs="Times New Roman"/>
                <w:kern w:val="0"/>
                <w:lang w:eastAsia="de-DE"/>
                <w14:ligatures w14:val="none"/>
              </w:rPr>
              <w:br/>
            </w:r>
            <w:r w:rsidRPr="00990A0B">
              <w:rPr>
                <w:rFonts w:ascii="Times New Roman" w:eastAsia="Times New Roman" w:hAnsi="Times New Roman" w:cs="Times New Roman"/>
                <w:kern w:val="0"/>
                <w:lang w:eastAsia="de-DE"/>
                <w14:ligatures w14:val="none"/>
              </w:rPr>
              <w:br/>
              <w:t>Weiter Entstehen aber auch Gewinne und möglicherweise Verluste durch veränderte Kurse zwischen Kauf- und Verkaufstermin. Auch diese werden steuerlich mit der Abgeltungssteuer belegt. Da Einlagen in Form von Aktien oder ETFs in der Regel längerfristig angelegt sind, erhebt der Staat auf die Einlagen eine jedes Jahr neu abgeschätz</w:t>
            </w:r>
            <w:r>
              <w:rPr>
                <w:rFonts w:ascii="Times New Roman" w:eastAsia="Times New Roman" w:hAnsi="Times New Roman" w:cs="Times New Roman"/>
                <w:kern w:val="0"/>
                <w:lang w:eastAsia="de-DE"/>
                <w14:ligatures w14:val="none"/>
              </w:rPr>
              <w:t>t</w:t>
            </w:r>
            <w:r w:rsidRPr="00990A0B">
              <w:rPr>
                <w:rFonts w:ascii="Times New Roman" w:eastAsia="Times New Roman" w:hAnsi="Times New Roman" w:cs="Times New Roman"/>
                <w:kern w:val="0"/>
                <w:lang w:eastAsia="de-DE"/>
                <w14:ligatures w14:val="none"/>
              </w:rPr>
              <w:t>e Abgeltungssteuer, die dann beim Verkauf mit der tatsächlichen anfallenden Abge</w:t>
            </w:r>
            <w:r>
              <w:rPr>
                <w:rFonts w:ascii="Times New Roman" w:eastAsia="Times New Roman" w:hAnsi="Times New Roman" w:cs="Times New Roman"/>
                <w:kern w:val="0"/>
                <w:lang w:eastAsia="de-DE"/>
                <w14:ligatures w14:val="none"/>
              </w:rPr>
              <w:t>l</w:t>
            </w:r>
            <w:r w:rsidRPr="00990A0B">
              <w:rPr>
                <w:rFonts w:ascii="Times New Roman" w:eastAsia="Times New Roman" w:hAnsi="Times New Roman" w:cs="Times New Roman"/>
                <w:kern w:val="0"/>
                <w:lang w:eastAsia="de-DE"/>
                <w14:ligatures w14:val="none"/>
              </w:rPr>
              <w:t xml:space="preserve">tungssteuer verrechnet wird. </w:t>
            </w:r>
          </w:p>
          <w:p w:rsidR="00990A0B" w:rsidRPr="00990A0B" w:rsidRDefault="00990A0B" w:rsidP="001309C0">
            <w:pPr>
              <w:spacing w:before="100" w:beforeAutospacing="1" w:after="100" w:afterAutospacing="1" w:line="240" w:lineRule="auto"/>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t>Bei ETFs, die</w:t>
            </w:r>
            <w:r w:rsidRPr="00990A0B">
              <w:rPr>
                <w:rFonts w:ascii="Times New Roman" w:eastAsia="Times New Roman" w:hAnsi="Times New Roman" w:cs="Times New Roman"/>
                <w:kern w:val="0"/>
                <w:lang w:eastAsia="de-DE"/>
                <w14:ligatures w14:val="none"/>
              </w:rPr>
              <w:t xml:space="preserve"> mehr als 50% Aktien enthalten, bleiben jedoch 30% der Gewinne steuerfrei. </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2.</w:t>
            </w:r>
            <w:bookmarkStart w:id="1" w:name="m2"/>
            <w:bookmarkEnd w:id="1"/>
            <w:r w:rsidRPr="00990A0B">
              <w:rPr>
                <w:rFonts w:ascii="Times New Roman" w:eastAsia="Times New Roman" w:hAnsi="Times New Roman" w:cs="Times New Roman"/>
                <w:kern w:val="0"/>
                <w:lang w:eastAsia="de-DE"/>
                <w14:ligatures w14:val="none"/>
              </w:rPr>
              <w:t xml:space="preserve"> </w:t>
            </w:r>
            <w:r>
              <w:rPr>
                <w:rFonts w:ascii="Times New Roman" w:eastAsia="Times New Roman" w:hAnsi="Times New Roman" w:cs="Times New Roman"/>
                <w:noProof/>
                <w:color w:val="0000FF"/>
                <w:kern w:val="0"/>
                <w:lang w:eastAsia="de-DE"/>
              </w:rPr>
              <w:drawing>
                <wp:inline distT="0" distB="0" distL="0" distR="0" wp14:anchorId="38FACBC6" wp14:editId="08683736">
                  <wp:extent cx="114300" cy="114300"/>
                  <wp:effectExtent l="0" t="0" r="0" b="0"/>
                  <wp:docPr id="28" name="Grafik 28"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Rendite-Rechner</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Zur Berechnung der jährlichen Rendite geht es </w:t>
            </w:r>
            <w:hyperlink r:id="rId9" w:tgtFrame="_blank" w:history="1">
              <w:r w:rsidRPr="00990A0B">
                <w:rPr>
                  <w:rFonts w:ascii="Times New Roman" w:eastAsia="Times New Roman" w:hAnsi="Times New Roman" w:cs="Times New Roman"/>
                  <w:b/>
                  <w:bCs/>
                  <w:color w:val="0000FF"/>
                  <w:kern w:val="0"/>
                  <w:u w:val="single"/>
                  <w:lang w:eastAsia="de-DE"/>
                  <w14:ligatures w14:val="none"/>
                </w:rPr>
                <w:t>hier zu einem Excel-Renditerechner</w:t>
              </w:r>
            </w:hyperlink>
            <w:r w:rsidRPr="00990A0B">
              <w:rPr>
                <w:rFonts w:ascii="Times New Roman" w:eastAsia="Times New Roman" w:hAnsi="Times New Roman" w:cs="Times New Roman"/>
                <w:kern w:val="0"/>
                <w:lang w:eastAsia="de-DE"/>
                <w14:ligatures w14:val="none"/>
              </w:rPr>
              <w:t>.</w:t>
            </w:r>
          </w:p>
          <w:p w:rsidR="00990A0B" w:rsidRPr="00990A0B" w:rsidRDefault="0037163E" w:rsidP="00990A0B">
            <w:pPr>
              <w:spacing w:beforeAutospacing="1" w:after="100" w:afterAutospacing="1" w:line="240" w:lineRule="auto"/>
              <w:rPr>
                <w:rFonts w:ascii="Times New Roman" w:eastAsia="Times New Roman" w:hAnsi="Times New Roman" w:cs="Times New Roman"/>
                <w:kern w:val="0"/>
                <w:lang w:eastAsia="de-DE"/>
                <w14:ligatures w14:val="none"/>
              </w:rPr>
            </w:pPr>
            <w:hyperlink r:id="rId10" w:tgtFrame="_blank" w:history="1">
              <w:r w:rsidR="00990A0B" w:rsidRPr="00990A0B">
                <w:rPr>
                  <w:rFonts w:ascii="Times New Roman" w:eastAsia="Times New Roman" w:hAnsi="Times New Roman" w:cs="Times New Roman"/>
                  <w:b/>
                  <w:bCs/>
                  <w:color w:val="0000FF"/>
                  <w:kern w:val="0"/>
                  <w:u w:val="single"/>
                  <w:lang w:eastAsia="de-DE"/>
                  <w14:ligatures w14:val="none"/>
                </w:rPr>
                <w:t>Finanztip.de</w:t>
              </w:r>
            </w:hyperlink>
            <w:r w:rsidR="00990A0B">
              <w:rPr>
                <w:rFonts w:ascii="Times New Roman" w:eastAsia="Times New Roman" w:hAnsi="Times New Roman" w:cs="Times New Roman"/>
                <w:b/>
                <w:bCs/>
                <w:noProof/>
                <w:color w:val="0000FF"/>
                <w:kern w:val="0"/>
                <w:lang w:eastAsia="de-DE"/>
              </w:rPr>
              <w:drawing>
                <wp:inline distT="0" distB="0" distL="0" distR="0" wp14:anchorId="211AC2A6" wp14:editId="1AAA1E58">
                  <wp:extent cx="114300" cy="114300"/>
                  <wp:effectExtent l="0" t="0" r="0" b="0"/>
                  <wp:docPr id="27" name="Grafik 27" descr="C:\Users\KGH\Downloads\PROJEKTE - Ökonomie_files\f_link.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H\Downloads\PROJEKTE - Ökonomie_files\f_link.gif">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90A0B" w:rsidRPr="00990A0B">
              <w:rPr>
                <w:rFonts w:ascii="Times New Roman" w:eastAsia="Times New Roman" w:hAnsi="Times New Roman" w:cs="Times New Roman"/>
                <w:kern w:val="0"/>
                <w:lang w:eastAsia="de-DE"/>
                <w14:ligatures w14:val="none"/>
              </w:rPr>
              <w:br/>
              <w:t xml:space="preserve">Hinweis zu </w:t>
            </w:r>
            <w:r w:rsidR="00990A0B" w:rsidRPr="00990A0B">
              <w:rPr>
                <w:rFonts w:ascii="Times New Roman" w:eastAsia="Times New Roman" w:hAnsi="Times New Roman" w:cs="Times New Roman"/>
                <w:b/>
                <w:bCs/>
                <w:kern w:val="0"/>
                <w:lang w:eastAsia="de-DE"/>
                <w14:ligatures w14:val="none"/>
              </w:rPr>
              <w:t>Aktien enthaltende ETFs</w:t>
            </w:r>
            <w:r w:rsidR="00990A0B" w:rsidRPr="00990A0B">
              <w:rPr>
                <w:rFonts w:ascii="Times New Roman" w:eastAsia="Times New Roman" w:hAnsi="Times New Roman" w:cs="Times New Roman"/>
                <w:kern w:val="0"/>
                <w:lang w:eastAsia="de-DE"/>
                <w14:ligatures w14:val="none"/>
              </w:rPr>
              <w:t xml:space="preserve">: Nach einer bestimmten Formel ermittelt Deine Depotbank eine jährliche Bemessungsgrundlage für die Abgeltungssteuer in Höhe von gut 25 Prozent. Bei ETFs mit mindestens 50 Prozent Aktienanteil </w:t>
            </w:r>
            <w:proofErr w:type="gramStart"/>
            <w:r w:rsidR="00990A0B" w:rsidRPr="00990A0B">
              <w:rPr>
                <w:rFonts w:ascii="Times New Roman" w:eastAsia="Times New Roman" w:hAnsi="Times New Roman" w:cs="Times New Roman"/>
                <w:kern w:val="0"/>
                <w:lang w:eastAsia="de-DE"/>
                <w14:ligatures w14:val="none"/>
              </w:rPr>
              <w:t>bleiben</w:t>
            </w:r>
            <w:proofErr w:type="gramEnd"/>
            <w:r w:rsidR="00990A0B" w:rsidRPr="00990A0B">
              <w:rPr>
                <w:rFonts w:ascii="Times New Roman" w:eastAsia="Times New Roman" w:hAnsi="Times New Roman" w:cs="Times New Roman"/>
                <w:kern w:val="0"/>
                <w:lang w:eastAsia="de-DE"/>
                <w14:ligatures w14:val="none"/>
              </w:rPr>
              <w:t xml:space="preserve"> dank der Teilfreistellung 30 Prozent der Erträge steuerfrei (das trifft in der Regel auf alle Finanzti</w:t>
            </w:r>
            <w:r w:rsidR="00990A0B">
              <w:rPr>
                <w:rFonts w:ascii="Times New Roman" w:eastAsia="Times New Roman" w:hAnsi="Times New Roman" w:cs="Times New Roman"/>
                <w:kern w:val="0"/>
                <w:lang w:eastAsia="de-DE"/>
                <w14:ligatures w14:val="none"/>
              </w:rPr>
              <w:t>p</w:t>
            </w:r>
            <w:r w:rsidR="00990A0B" w:rsidRPr="00990A0B">
              <w:rPr>
                <w:rFonts w:ascii="Times New Roman" w:eastAsia="Times New Roman" w:hAnsi="Times New Roman" w:cs="Times New Roman"/>
                <w:kern w:val="0"/>
                <w:lang w:eastAsia="de-DE"/>
                <w14:ligatures w14:val="none"/>
              </w:rPr>
              <w:t xml:space="preserve">p-Empfehlungen zu). Die Steuer wird direkt einbehalten, es sei denn, Du stellst einen entsprechenden </w:t>
            </w:r>
            <w:hyperlink r:id="rId12" w:tgtFrame="_blank" w:history="1">
              <w:r w:rsidR="00990A0B" w:rsidRPr="00990A0B">
                <w:rPr>
                  <w:rFonts w:ascii="Times New Roman" w:eastAsia="Times New Roman" w:hAnsi="Times New Roman" w:cs="Times New Roman"/>
                  <w:color w:val="0000FF"/>
                  <w:kern w:val="0"/>
                  <w:u w:val="single"/>
                  <w:lang w:eastAsia="de-DE"/>
                  <w14:ligatures w14:val="none"/>
                </w:rPr>
                <w:t>Freistellungsauftrag</w:t>
              </w:r>
              <w:r w:rsidR="00990A0B">
                <w:rPr>
                  <w:rFonts w:ascii="Times New Roman" w:eastAsia="Times New Roman" w:hAnsi="Times New Roman" w:cs="Times New Roman"/>
                  <w:noProof/>
                  <w:color w:val="0000FF"/>
                  <w:kern w:val="0"/>
                  <w:lang w:eastAsia="de-DE"/>
                </w:rPr>
                <w:drawing>
                  <wp:inline distT="0" distB="0" distL="0" distR="0" wp14:anchorId="0B5AC6C0" wp14:editId="348770BE">
                    <wp:extent cx="114300" cy="114300"/>
                    <wp:effectExtent l="0" t="0" r="0" b="0"/>
                    <wp:docPr id="26" name="Grafik 26" descr="C:\Users\KGH\Downloads\PROJEKTE - Ökonomie_files\f_link.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H\Downloads\PROJEKTE - Ökonomie_files\f_link.gif">
                              <a:hlinkClick r:id="rId1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90A0B" w:rsidRPr="00990A0B">
                <w:rPr>
                  <w:rFonts w:ascii="Times New Roman" w:eastAsia="Times New Roman" w:hAnsi="Times New Roman" w:cs="Times New Roman"/>
                  <w:color w:val="0000FF"/>
                  <w:kern w:val="0"/>
                  <w:u w:val="single"/>
                  <w:lang w:eastAsia="de-DE"/>
                  <w14:ligatures w14:val="none"/>
                </w:rPr>
                <w:t xml:space="preserve"> </w:t>
              </w:r>
            </w:hyperlink>
            <w:r w:rsidR="00990A0B" w:rsidRPr="00990A0B">
              <w:rPr>
                <w:rFonts w:ascii="Times New Roman" w:eastAsia="Times New Roman" w:hAnsi="Times New Roman" w:cs="Times New Roman"/>
                <w:kern w:val="0"/>
                <w:lang w:eastAsia="de-DE"/>
                <w14:ligatures w14:val="none"/>
              </w:rPr>
              <w:t xml:space="preserve">bei Deiner Depotbank. Kapitalerträge sind bis 1.000 Euro bei einzeln Veranlagten und bis zu 2.000 Euro bei gemeinsam Veranlagten steuerfrei. </w:t>
            </w:r>
            <w:hyperlink r:id="rId13" w:tgtFrame="_blank" w:history="1">
              <w:r w:rsidR="00990A0B" w:rsidRPr="00990A0B">
                <w:rPr>
                  <w:rFonts w:ascii="Times New Roman" w:eastAsia="Times New Roman" w:hAnsi="Times New Roman" w:cs="Times New Roman"/>
                  <w:b/>
                  <w:bCs/>
                  <w:color w:val="0000FF"/>
                  <w:kern w:val="0"/>
                  <w:u w:val="single"/>
                  <w:lang w:eastAsia="de-DE"/>
                  <w14:ligatures w14:val="none"/>
                </w:rPr>
                <w:t>Finanztip.de</w:t>
              </w:r>
            </w:hyperlink>
            <w:r w:rsidR="00990A0B">
              <w:rPr>
                <w:rFonts w:ascii="Times New Roman" w:eastAsia="Times New Roman" w:hAnsi="Times New Roman" w:cs="Times New Roman"/>
                <w:b/>
                <w:bCs/>
                <w:noProof/>
                <w:color w:val="0000FF"/>
                <w:kern w:val="0"/>
                <w:lang w:eastAsia="de-DE"/>
              </w:rPr>
              <w:drawing>
                <wp:inline distT="0" distB="0" distL="0" distR="0" wp14:anchorId="4AFCFD51" wp14:editId="668EF386">
                  <wp:extent cx="114300" cy="114300"/>
                  <wp:effectExtent l="0" t="0" r="0" b="0"/>
                  <wp:docPr id="25" name="Grafik 25" descr="C:\Users\KGH\Downloads\PROJEKTE - Ökonomie_files\f_link.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GH\Downloads\PROJEKTE - Ökonomie_files\f_link.gif">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990A0B" w:rsidRPr="00990A0B">
              <w:rPr>
                <w:rFonts w:ascii="Times New Roman" w:eastAsia="Times New Roman" w:hAnsi="Times New Roman" w:cs="Times New Roman"/>
                <w:kern w:val="0"/>
                <w:lang w:eastAsia="de-DE"/>
                <w14:ligatures w14:val="none"/>
              </w:rPr>
              <w:t xml:space="preserve">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 xml:space="preserve">Frage an </w:t>
            </w:r>
            <w:proofErr w:type="spellStart"/>
            <w:r w:rsidRPr="00990A0B">
              <w:rPr>
                <w:rFonts w:ascii="Times New Roman" w:eastAsia="Times New Roman" w:hAnsi="Times New Roman" w:cs="Times New Roman"/>
                <w:b/>
                <w:bCs/>
                <w:kern w:val="0"/>
                <w:lang w:eastAsia="de-DE"/>
                <w14:ligatures w14:val="none"/>
              </w:rPr>
              <w:t>copilot</w:t>
            </w:r>
            <w:proofErr w:type="spellEnd"/>
            <w:r w:rsidRPr="00990A0B">
              <w:rPr>
                <w:rFonts w:ascii="Times New Roman" w:eastAsia="Times New Roman" w:hAnsi="Times New Roman" w:cs="Times New Roman"/>
                <w:b/>
                <w:bCs/>
                <w:kern w:val="0"/>
                <w:lang w:eastAsia="de-DE"/>
                <w14:ligatures w14:val="none"/>
              </w:rPr>
              <w:t xml:space="preserve">: </w:t>
            </w:r>
            <w:r w:rsidRPr="00990A0B">
              <w:rPr>
                <w:rFonts w:ascii="Times New Roman" w:eastAsia="Times New Roman" w:hAnsi="Times New Roman" w:cs="Times New Roman"/>
                <w:kern w:val="0"/>
                <w:lang w:eastAsia="de-DE"/>
                <w14:ligatures w14:val="none"/>
              </w:rPr>
              <w:br/>
              <w:t>Wie ermittelt man die jährliche Rendite eines Aktien enthaltenden ETF (</w:t>
            </w:r>
            <w:r w:rsidR="0037163E">
              <w:rPr>
                <w:rFonts w:ascii="Times New Roman" w:eastAsia="Times New Roman" w:hAnsi="Times New Roman" w:cs="Times New Roman"/>
                <w:kern w:val="0"/>
                <w:lang w:eastAsia="de-DE"/>
                <w14:ligatures w14:val="none"/>
              </w:rPr>
              <w:t>ACC</w:t>
            </w:r>
            <w:r w:rsidRPr="00990A0B">
              <w:rPr>
                <w:rFonts w:ascii="Times New Roman" w:eastAsia="Times New Roman" w:hAnsi="Times New Roman" w:cs="Times New Roman"/>
                <w:kern w:val="0"/>
                <w:lang w:eastAsia="de-DE"/>
                <w14:ligatures w14:val="none"/>
              </w:rPr>
              <w:t>), der über seit 2018 bis jetzt gehalten wurden nach der Abgeltungssteuer.</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Antwort:</w:t>
            </w:r>
            <w:r w:rsidRPr="00990A0B">
              <w:rPr>
                <w:rFonts w:ascii="Times New Roman" w:eastAsia="Times New Roman" w:hAnsi="Times New Roman" w:cs="Times New Roman"/>
                <w:b/>
                <w:bCs/>
                <w:kern w:val="0"/>
                <w:lang w:eastAsia="de-DE"/>
                <w14:ligatures w14:val="none"/>
              </w:rPr>
              <w:br/>
            </w:r>
            <w:r w:rsidRPr="00990A0B">
              <w:rPr>
                <w:rFonts w:ascii="Times New Roman" w:eastAsia="Times New Roman" w:hAnsi="Times New Roman" w:cs="Times New Roman"/>
                <w:kern w:val="0"/>
                <w:lang w:eastAsia="de-DE"/>
                <w14:ligatures w14:val="none"/>
              </w:rPr>
              <w:t>Um die jährliche Rendite eines Aktien-ETFs</w:t>
            </w:r>
            <w:r w:rsidR="0037163E">
              <w:rPr>
                <w:rFonts w:ascii="Times New Roman" w:eastAsia="Times New Roman" w:hAnsi="Times New Roman" w:cs="Times New Roman"/>
                <w:kern w:val="0"/>
                <w:lang w:eastAsia="de-DE"/>
                <w14:ligatures w14:val="none"/>
              </w:rPr>
              <w:t xml:space="preserve"> ACC</w:t>
            </w:r>
            <w:r w:rsidRPr="00990A0B">
              <w:rPr>
                <w:rFonts w:ascii="Times New Roman" w:eastAsia="Times New Roman" w:hAnsi="Times New Roman" w:cs="Times New Roman"/>
                <w:kern w:val="0"/>
                <w:lang w:eastAsia="de-DE"/>
                <w14:ligatures w14:val="none"/>
              </w:rPr>
              <w:t xml:space="preserve"> (</w:t>
            </w:r>
            <w:proofErr w:type="spellStart"/>
            <w:r w:rsidRPr="00990A0B">
              <w:rPr>
                <w:rFonts w:ascii="Times New Roman" w:eastAsia="Times New Roman" w:hAnsi="Times New Roman" w:cs="Times New Roman"/>
                <w:kern w:val="0"/>
                <w:lang w:eastAsia="de-DE"/>
                <w14:ligatures w14:val="none"/>
              </w:rPr>
              <w:t>accumulating</w:t>
            </w:r>
            <w:bookmarkStart w:id="2" w:name="_GoBack"/>
            <w:bookmarkEnd w:id="2"/>
            <w:proofErr w:type="spellEnd"/>
            <w:r w:rsidRPr="00990A0B">
              <w:rPr>
                <w:rFonts w:ascii="Times New Roman" w:eastAsia="Times New Roman" w:hAnsi="Times New Roman" w:cs="Times New Roman"/>
                <w:kern w:val="0"/>
                <w:lang w:eastAsia="de-DE"/>
                <w14:ligatures w14:val="none"/>
              </w:rPr>
              <w:t xml:space="preserve">) nach </w:t>
            </w:r>
            <w:r w:rsidRPr="00990A0B">
              <w:rPr>
                <w:rFonts w:ascii="Times New Roman" w:eastAsia="Times New Roman" w:hAnsi="Times New Roman" w:cs="Times New Roman"/>
                <w:kern w:val="0"/>
                <w:lang w:eastAsia="de-DE"/>
                <w14:ligatures w14:val="none"/>
              </w:rPr>
              <w:lastRenderedPageBreak/>
              <w:t xml:space="preserve">Abgeltungssteuer zu berechnen, kannst du die folgenden Schritte befolgen: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Anfangswert: Bestimme den Wert deiner Investition im Jahr 2018.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Endwert: Bestimme den aktuellen Wert deiner Investition.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Anzahl d</w:t>
            </w:r>
            <w:r>
              <w:rPr>
                <w:rFonts w:ascii="Times New Roman" w:eastAsia="Times New Roman" w:hAnsi="Times New Roman" w:cs="Times New Roman"/>
                <w:kern w:val="0"/>
                <w:lang w:eastAsia="de-DE"/>
                <w14:ligatures w14:val="none"/>
              </w:rPr>
              <w:t>er Jahre</w:t>
            </w:r>
            <w:r w:rsidRPr="00990A0B">
              <w:rPr>
                <w:rFonts w:ascii="Times New Roman" w:eastAsia="Times New Roman" w:hAnsi="Times New Roman" w:cs="Times New Roman"/>
                <w:kern w:val="0"/>
                <w:lang w:eastAsia="de-DE"/>
                <w14:ligatures w14:val="none"/>
              </w:rPr>
              <w:t xml:space="preserve">: Berechne die Anzahl der Jahre, die du die Investition gehalten hast (von 2018 bis 2024, also 6 Jahre).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Bruttorendite: Berechne die annualisierte Rendite vor Steuern mit der Formel: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t>Abgeltungssteuer</w:t>
            </w:r>
            <w:r w:rsidRPr="00990A0B">
              <w:rPr>
                <w:rFonts w:ascii="Times New Roman" w:eastAsia="Times New Roman" w:hAnsi="Times New Roman" w:cs="Times New Roman"/>
                <w:kern w:val="0"/>
                <w:lang w:eastAsia="de-DE"/>
                <w14:ligatures w14:val="none"/>
              </w:rPr>
              <w:t xml:space="preserve">: Die Abgeltungssteuer beträgt 25 % der Kapitalerträge, zusätzlich 5,5 % Solidaritätszuschlag auf die Abgeltungssteuer und ggf. </w:t>
            </w:r>
            <w:hyperlink r:id="rId14" w:history="1">
              <w:r w:rsidRPr="00990A0B">
                <w:rPr>
                  <w:rFonts w:ascii="Times New Roman" w:eastAsia="Times New Roman" w:hAnsi="Times New Roman" w:cs="Times New Roman"/>
                  <w:color w:val="0000FF"/>
                  <w:kern w:val="0"/>
                  <w:u w:val="single"/>
                  <w:lang w:eastAsia="de-DE"/>
                  <w14:ligatures w14:val="none"/>
                </w:rPr>
                <w:t xml:space="preserve">Kirchensteuer (8 % oder 9 % der Abgeltungssteuer, je nach Bundesland) </w:t>
              </w:r>
            </w:hyperlink>
            <w:hyperlink r:id="rId15" w:history="1">
              <w:r w:rsidRPr="00990A0B">
                <w:rPr>
                  <w:rFonts w:ascii="Times New Roman" w:eastAsia="Times New Roman" w:hAnsi="Times New Roman" w:cs="Times New Roman"/>
                  <w:color w:val="0000FF"/>
                  <w:kern w:val="0"/>
                  <w:u w:val="single"/>
                  <w:lang w:eastAsia="de-DE"/>
                  <w14:ligatures w14:val="none"/>
                </w:rPr>
                <w:t xml:space="preserve">1 </w:t>
              </w:r>
            </w:hyperlink>
            <w:hyperlink r:id="rId16" w:history="1">
              <w:proofErr w:type="gramStart"/>
              <w:r w:rsidRPr="00990A0B">
                <w:rPr>
                  <w:rFonts w:ascii="Times New Roman" w:eastAsia="Times New Roman" w:hAnsi="Times New Roman" w:cs="Times New Roman"/>
                  <w:color w:val="0000FF"/>
                  <w:kern w:val="0"/>
                  <w:u w:val="single"/>
                  <w:lang w:eastAsia="de-DE"/>
                  <w14:ligatures w14:val="none"/>
                </w:rPr>
                <w:t xml:space="preserve">2 </w:t>
              </w:r>
              <w:proofErr w:type="gramEnd"/>
            </w:hyperlink>
            <w:r w:rsidRPr="00990A0B">
              <w:rPr>
                <w:rFonts w:ascii="Times New Roman" w:eastAsia="Times New Roman" w:hAnsi="Times New Roman" w:cs="Times New Roman"/>
                <w:kern w:val="0"/>
                <w:lang w:eastAsia="de-DE"/>
                <w14:ligatures w14:val="none"/>
              </w:rPr>
              <w:t xml:space="preserve">. </w:t>
            </w:r>
          </w:p>
          <w:p w:rsidR="00990A0B" w:rsidRPr="00990A0B" w:rsidRDefault="00990A0B" w:rsidP="00990A0B">
            <w:pPr>
              <w:numPr>
                <w:ilvl w:val="0"/>
                <w:numId w:val="1"/>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Nettoertrag : Berechne den Nettoertrag nach Steuern: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Nettoertrag = Bruttoertrag −- Abgeltungssteuer −-Solidaritätszuschlag −- Kirchensteuer </w:t>
            </w:r>
            <w:r w:rsidRPr="00990A0B">
              <w:rPr>
                <w:rFonts w:ascii="Times New Roman" w:eastAsia="Times New Roman" w:hAnsi="Times New Roman" w:cs="Times New Roman"/>
                <w:kern w:val="0"/>
                <w:lang w:eastAsia="de-DE"/>
                <w14:ligatures w14:val="none"/>
              </w:rPr>
              <w:br/>
              <w:t xml:space="preserve">Annualisierte Nettorendite: Berechne die annualisierte Nettorendite: </w:t>
            </w:r>
            <w:r w:rsidRPr="00990A0B">
              <w:rPr>
                <w:rFonts w:ascii="Times New Roman" w:eastAsia="Times New Roman" w:hAnsi="Times New Roman" w:cs="Times New Roman"/>
                <w:kern w:val="0"/>
                <w:lang w:eastAsia="de-DE"/>
                <w14:ligatures w14:val="none"/>
              </w:rPr>
              <w:br/>
              <w:t xml:space="preserve">Annualisierte Nettorendite = ( Nettoendwert / Anfangswert ) ^ (1/Anzahl der Jahre) - 1−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Beispiel: Wenn du 10.000 € im Jahr 2018 investiert hast und der Wert deiner Investition jetzt 15.000 € beträgt, dann berechnet sich die annualisierte Bruttorendite wie folgt: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Annualisierte Bruttorendite = (15.000/10.000) ^ (1/6) - 1 ≈ 0,0732 oder 7,32 % </w:t>
            </w:r>
            <w:r w:rsidRPr="00990A0B">
              <w:rPr>
                <w:rFonts w:ascii="Times New Roman" w:eastAsia="Times New Roman" w:hAnsi="Times New Roman" w:cs="Times New Roman"/>
                <w:kern w:val="0"/>
                <w:lang w:eastAsia="de-DE"/>
                <w14:ligatures w14:val="none"/>
              </w:rPr>
              <w:br/>
            </w:r>
            <w:r w:rsidRPr="00990A0B">
              <w:rPr>
                <w:rFonts w:ascii="Times New Roman" w:eastAsia="Times New Roman" w:hAnsi="Times New Roman" w:cs="Times New Roman"/>
                <w:kern w:val="0"/>
                <w:lang w:eastAsia="de-DE"/>
                <w14:ligatures w14:val="none"/>
              </w:rPr>
              <w:br/>
              <w:t xml:space="preserve">Angenommen, der Bruttoertrag beträgt 5.000 €, dann beträgt die Abgeltungssteuer 25 % davon, also 1.250 €. Der Solidaritätszuschlag beträgt 5,5 % der Abgeltungssteuer, also 68,75 €. Wenn du in einem Bundesland mit 9 % Kirchensteuer lebst, beträgt diese 112,50 €. Der Nettoertrag wäre dann: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Nettoertrag = 5.000 −- 1.250 −- 68,75 −- 112,50 = 3.568,75 €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Die annualisierte Nettorendite berechnet sich dann wie folgt: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Annualisierte Nettorendite = ( 13.568,75 / 10.000 ) ^ (1/6) - 1 ≈ 0,053 oder 5,3 % </w:t>
            </w:r>
          </w:p>
          <w:p w:rsidR="00990A0B" w:rsidRPr="00990A0B" w:rsidRDefault="0037163E"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hyperlink r:id="rId17" w:history="1">
              <w:r w:rsidR="00990A0B" w:rsidRPr="00990A0B">
                <w:rPr>
                  <w:rFonts w:ascii="Times New Roman" w:eastAsia="Times New Roman" w:hAnsi="Times New Roman" w:cs="Times New Roman"/>
                  <w:color w:val="0000FF"/>
                  <w:kern w:val="0"/>
                  <w:u w:val="single"/>
                  <w:lang w:eastAsia="de-DE"/>
                  <w14:ligatures w14:val="none"/>
                </w:rPr>
                <w:t xml:space="preserve">1 finanz-tools.de </w:t>
              </w:r>
            </w:hyperlink>
            <w:hyperlink r:id="rId18" w:history="1">
              <w:r w:rsidR="00990A0B" w:rsidRPr="00990A0B">
                <w:rPr>
                  <w:rFonts w:ascii="Times New Roman" w:eastAsia="Times New Roman" w:hAnsi="Times New Roman" w:cs="Times New Roman"/>
                  <w:color w:val="0000FF"/>
                  <w:kern w:val="0"/>
                  <w:u w:val="single"/>
                  <w:lang w:eastAsia="de-DE"/>
                  <w14:ligatures w14:val="none"/>
                </w:rPr>
                <w:t xml:space="preserve">2 smart-rechner.de </w:t>
              </w:r>
            </w:hyperlink>
            <w:hyperlink r:id="rId19" w:history="1">
              <w:r w:rsidR="00990A0B" w:rsidRPr="00990A0B">
                <w:rPr>
                  <w:rFonts w:ascii="Times New Roman" w:eastAsia="Times New Roman" w:hAnsi="Times New Roman" w:cs="Times New Roman"/>
                  <w:color w:val="0000FF"/>
                  <w:kern w:val="0"/>
                  <w:u w:val="single"/>
                  <w:lang w:eastAsia="de-DE"/>
                  <w14:ligatures w14:val="none"/>
                </w:rPr>
                <w:t xml:space="preserve">3 hermoney.de </w:t>
              </w:r>
            </w:hyperlink>
            <w:hyperlink r:id="rId20" w:history="1">
              <w:r w:rsidR="00990A0B" w:rsidRPr="00990A0B">
                <w:rPr>
                  <w:rFonts w:ascii="Times New Roman" w:eastAsia="Times New Roman" w:hAnsi="Times New Roman" w:cs="Times New Roman"/>
                  <w:color w:val="0000FF"/>
                  <w:kern w:val="0"/>
                  <w:u w:val="single"/>
                  <w:lang w:eastAsia="de-DE"/>
                  <w14:ligatures w14:val="none"/>
                </w:rPr>
                <w:t xml:space="preserve">4 finanzfluss.de </w:t>
              </w:r>
            </w:hyperlink>
          </w:p>
        </w:tc>
        <w:tc>
          <w:tcPr>
            <w:tcW w:w="829" w:type="pct"/>
            <w:hideMark/>
          </w:tcPr>
          <w:p w:rsidR="00990A0B" w:rsidRPr="00990A0B" w:rsidRDefault="00990A0B" w:rsidP="00990A0B">
            <w:pPr>
              <w:spacing w:before="100" w:beforeAutospacing="1" w:after="100" w:afterAutospacing="1"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 xml:space="preserve">Beispiel-rechnung einer Rendite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3.</w:t>
            </w:r>
            <w:bookmarkStart w:id="3" w:name="m3"/>
            <w:bookmarkEnd w:id="3"/>
            <w:r w:rsidRPr="00990A0B">
              <w:rPr>
                <w:rFonts w:ascii="Times New Roman" w:eastAsia="Times New Roman" w:hAnsi="Times New Roman" w:cs="Times New Roman"/>
                <w:kern w:val="0"/>
                <w:lang w:eastAsia="de-DE"/>
                <w14:ligatures w14:val="none"/>
              </w:rPr>
              <w:t xml:space="preserve"> </w:t>
            </w:r>
            <w:r>
              <w:rPr>
                <w:rFonts w:ascii="Times New Roman" w:eastAsia="Times New Roman" w:hAnsi="Times New Roman" w:cs="Times New Roman"/>
                <w:noProof/>
                <w:color w:val="0000FF"/>
                <w:kern w:val="0"/>
                <w:lang w:eastAsia="de-DE"/>
              </w:rPr>
              <w:drawing>
                <wp:inline distT="0" distB="0" distL="0" distR="0" wp14:anchorId="1521597D" wp14:editId="3B72C2EA">
                  <wp:extent cx="114300" cy="114300"/>
                  <wp:effectExtent l="0" t="0" r="0" b="0"/>
                  <wp:docPr id="24" name="Grafik 24"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Rendite des Bank-gemanagten Kapitals</w:t>
            </w:r>
            <w:r w:rsidRPr="00990A0B">
              <w:rPr>
                <w:rFonts w:ascii="Times New Roman" w:eastAsia="Times New Roman" w:hAnsi="Times New Roman" w:cs="Times New Roman"/>
                <w:kern w:val="0"/>
                <w:lang w:eastAsia="de-DE"/>
                <w14:ligatures w14:val="none"/>
              </w:rPr>
              <w:br/>
              <w:t>(fiktiv ohne Berücksicht</w:t>
            </w:r>
            <w:r>
              <w:rPr>
                <w:rFonts w:ascii="Times New Roman" w:eastAsia="Times New Roman" w:hAnsi="Times New Roman" w:cs="Times New Roman"/>
                <w:kern w:val="0"/>
                <w:lang w:eastAsia="de-DE"/>
                <w14:ligatures w14:val="none"/>
              </w:rPr>
              <w:t>ig</w:t>
            </w:r>
            <w:r w:rsidRPr="00990A0B">
              <w:rPr>
                <w:rFonts w:ascii="Times New Roman" w:eastAsia="Times New Roman" w:hAnsi="Times New Roman" w:cs="Times New Roman"/>
                <w:kern w:val="0"/>
                <w:lang w:eastAsia="de-DE"/>
                <w14:ligatures w14:val="none"/>
              </w:rPr>
              <w:t>ung der Aufteilung Aktien/Anleihen)</w:t>
            </w:r>
            <w:r w:rsidRPr="00990A0B">
              <w:rPr>
                <w:rFonts w:ascii="Times New Roman" w:eastAsia="Times New Roman" w:hAnsi="Times New Roman" w:cs="Times New Roman"/>
                <w:kern w:val="0"/>
                <w:lang w:eastAsia="de-DE"/>
                <w14:ligatures w14:val="none"/>
              </w:rPr>
              <w:br/>
              <w:t>mit 1,5% Bankprovision(incl. MWST)</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Hier erfolg</w:t>
            </w:r>
            <w:r>
              <w:rPr>
                <w:rFonts w:ascii="Times New Roman" w:eastAsia="Times New Roman" w:hAnsi="Times New Roman" w:cs="Times New Roman"/>
                <w:kern w:val="0"/>
                <w:lang w:eastAsia="de-DE"/>
                <w14:ligatures w14:val="none"/>
              </w:rPr>
              <w:t>t eine Analyse einer Geldanlage</w:t>
            </w:r>
            <w:r w:rsidRPr="00990A0B">
              <w:rPr>
                <w:rFonts w:ascii="Times New Roman" w:eastAsia="Times New Roman" w:hAnsi="Times New Roman" w:cs="Times New Roman"/>
                <w:kern w:val="0"/>
                <w:lang w:eastAsia="de-DE"/>
                <w14:ligatures w14:val="none"/>
              </w:rPr>
              <w:t>, die von einer Bank gemanagt wurde. Die Geldanlage enthielt je zur Hälfte festverzinsliche Anleihen und Aktien im akkumulierende</w:t>
            </w:r>
            <w:r>
              <w:rPr>
                <w:rFonts w:ascii="Times New Roman" w:eastAsia="Times New Roman" w:hAnsi="Times New Roman" w:cs="Times New Roman"/>
                <w:kern w:val="0"/>
                <w:lang w:eastAsia="de-DE"/>
                <w14:ligatures w14:val="none"/>
              </w:rPr>
              <w:t>n</w:t>
            </w:r>
            <w:r w:rsidRPr="00990A0B">
              <w:rPr>
                <w:rFonts w:ascii="Times New Roman" w:eastAsia="Times New Roman" w:hAnsi="Times New Roman" w:cs="Times New Roman"/>
                <w:kern w:val="0"/>
                <w:lang w:eastAsia="de-DE"/>
                <w14:ligatures w14:val="none"/>
              </w:rPr>
              <w:t xml:space="preserve"> Depot. Die Daten sind anonymisiert. </w:t>
            </w:r>
            <w:r w:rsidRPr="00990A0B">
              <w:rPr>
                <w:rFonts w:ascii="Times New Roman" w:eastAsia="Times New Roman" w:hAnsi="Times New Roman" w:cs="Times New Roman"/>
                <w:kern w:val="0"/>
                <w:lang w:eastAsia="de-DE"/>
                <w14:ligatures w14:val="none"/>
              </w:rPr>
              <w:br/>
              <w:t>Die Berechnungen erfolgen auf der Basis von 100.000,00 € Kapital und beziehen sich auf den Zeitraum vom 01.01.2022 bis zum 16.08.2024.</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Laufzeit n = 2,54 Jahre (2 Jahre 6 Monate 15 Tage).</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Eingesetztes Kapital = 100.000,00 €; Endkapital = 105.787,50 € Gewinn = 5787,50 €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Gesamt-Re</w:t>
            </w:r>
            <w:r>
              <w:rPr>
                <w:rFonts w:ascii="Times New Roman" w:eastAsia="Times New Roman" w:hAnsi="Times New Roman" w:cs="Times New Roman"/>
                <w:kern w:val="0"/>
                <w:lang w:eastAsia="de-DE"/>
                <w14:ligatures w14:val="none"/>
              </w:rPr>
              <w:t>n</w:t>
            </w:r>
            <w:r w:rsidRPr="00990A0B">
              <w:rPr>
                <w:rFonts w:ascii="Times New Roman" w:eastAsia="Times New Roman" w:hAnsi="Times New Roman" w:cs="Times New Roman"/>
                <w:kern w:val="0"/>
                <w:lang w:eastAsia="de-DE"/>
                <w14:ligatures w14:val="none"/>
              </w:rPr>
              <w:t xml:space="preserve">dite = 5,7875%, </w:t>
            </w:r>
            <w:r w:rsidRPr="00990A0B">
              <w:rPr>
                <w:rFonts w:ascii="Times New Roman" w:eastAsia="Times New Roman" w:hAnsi="Times New Roman" w:cs="Times New Roman"/>
                <w:b/>
                <w:bCs/>
                <w:kern w:val="0"/>
                <w:lang w:eastAsia="de-DE"/>
                <w14:ligatures w14:val="none"/>
              </w:rPr>
              <w:t>Rendite pro Jahr (CAGR)2,2%</w:t>
            </w:r>
            <w:r w:rsidRPr="00990A0B">
              <w:rPr>
                <w:rFonts w:ascii="Times New Roman" w:eastAsia="Times New Roman" w:hAnsi="Times New Roman" w:cs="Times New Roman"/>
                <w:kern w:val="0"/>
                <w:lang w:eastAsia="de-DE"/>
                <w14:ligatures w14:val="none"/>
              </w:rPr>
              <w:t xml:space="preserve"> (2,56. Wurzel aus der) Gesamtrendite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Jährliche Rendite (</w:t>
            </w:r>
            <w:proofErr w:type="spellStart"/>
            <w:r w:rsidRPr="00990A0B">
              <w:rPr>
                <w:rFonts w:ascii="Times New Roman" w:eastAsia="Times New Roman" w:hAnsi="Times New Roman" w:cs="Times New Roman"/>
                <w:kern w:val="0"/>
                <w:lang w:eastAsia="de-DE"/>
                <w14:ligatures w14:val="none"/>
              </w:rPr>
              <w:t>Compound</w:t>
            </w:r>
            <w:proofErr w:type="spellEnd"/>
            <w:r w:rsidRPr="00990A0B">
              <w:rPr>
                <w:rFonts w:ascii="Times New Roman" w:eastAsia="Times New Roman" w:hAnsi="Times New Roman" w:cs="Times New Roman"/>
                <w:kern w:val="0"/>
                <w:lang w:eastAsia="de-DE"/>
                <w14:ligatures w14:val="none"/>
              </w:rPr>
              <w:t xml:space="preserve"> Annual Groth Rate) </w:t>
            </w:r>
            <w:r w:rsidRPr="00990A0B">
              <w:rPr>
                <w:rFonts w:ascii="Times New Roman" w:eastAsia="Times New Roman" w:hAnsi="Times New Roman" w:cs="Times New Roman"/>
                <w:b/>
                <w:bCs/>
                <w:kern w:val="0"/>
                <w:lang w:eastAsia="de-DE"/>
                <w14:ligatures w14:val="none"/>
              </w:rPr>
              <w:br/>
              <w:t>CAGR</w:t>
            </w:r>
            <w:r w:rsidRPr="00990A0B">
              <w:rPr>
                <w:rFonts w:ascii="Times New Roman" w:eastAsia="Times New Roman" w:hAnsi="Times New Roman" w:cs="Times New Roman"/>
                <w:kern w:val="0"/>
                <w:lang w:eastAsia="de-DE"/>
                <w14:ligatures w14:val="none"/>
              </w:rPr>
              <w:t xml:space="preserve"> = ((105787,50/100000)^(1/2,54)-1)*100 =</w:t>
            </w:r>
            <w:r w:rsidRPr="00990A0B">
              <w:rPr>
                <w:rFonts w:ascii="Times New Roman" w:eastAsia="Times New Roman" w:hAnsi="Times New Roman" w:cs="Times New Roman"/>
                <w:b/>
                <w:bCs/>
                <w:kern w:val="0"/>
                <w:lang w:eastAsia="de-DE"/>
                <w14:ligatures w14:val="none"/>
              </w:rPr>
              <w:t xml:space="preserve">2,2%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Die Bank führte regelmäßig Steuern auf die Dividenden ab. Daher müsste der Endbetrag bereits versteuert sein.</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 xml:space="preserve">Bank-gemanagtes Kapital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4.</w:t>
            </w:r>
            <w:bookmarkStart w:id="4" w:name="m4" w:colFirst="0" w:colLast="0"/>
            <w:r>
              <w:rPr>
                <w:rFonts w:ascii="Times New Roman" w:eastAsia="Times New Roman" w:hAnsi="Times New Roman" w:cs="Times New Roman"/>
                <w:noProof/>
                <w:color w:val="0000FF"/>
                <w:kern w:val="0"/>
                <w:lang w:eastAsia="de-DE"/>
              </w:rPr>
              <w:drawing>
                <wp:inline distT="0" distB="0" distL="0" distR="0" wp14:anchorId="3CAC4ED2" wp14:editId="39589087">
                  <wp:extent cx="114300" cy="114300"/>
                  <wp:effectExtent l="0" t="0" r="0" b="0"/>
                  <wp:docPr id="23" name="Grafik 23"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Rendite eines fiktive Dow-Jones-Index-Fond (</w:t>
            </w:r>
            <w:proofErr w:type="spellStart"/>
            <w:r w:rsidRPr="00990A0B">
              <w:rPr>
                <w:rFonts w:ascii="Times New Roman" w:eastAsia="Times New Roman" w:hAnsi="Times New Roman" w:cs="Times New Roman"/>
                <w:kern w:val="0"/>
                <w:lang w:eastAsia="de-DE"/>
                <w14:ligatures w14:val="none"/>
              </w:rPr>
              <w:t>acc</w:t>
            </w:r>
            <w:proofErr w:type="spellEnd"/>
            <w:r w:rsidRPr="00990A0B">
              <w:rPr>
                <w:rFonts w:ascii="Times New Roman" w:eastAsia="Times New Roman" w:hAnsi="Times New Roman" w:cs="Times New Roman"/>
                <w:kern w:val="0"/>
                <w:lang w:eastAsia="de-DE"/>
                <w14:ligatures w14:val="none"/>
              </w:rPr>
              <w:t xml:space="preserve">)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KI-Anfrage an Copilot</w:t>
            </w:r>
            <w:r w:rsidRPr="00990A0B">
              <w:rPr>
                <w:rFonts w:ascii="Times New Roman" w:eastAsia="Times New Roman" w:hAnsi="Times New Roman" w:cs="Times New Roman"/>
                <w:kern w:val="0"/>
                <w:lang w:eastAsia="de-DE"/>
                <w14:ligatures w14:val="none"/>
              </w:rPr>
              <w:t>: Wie hat sich der Dow-Jones-Index seit 2001 entwickelt</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Copilot Antwort:</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Der Dow-Jones-Index hat seit 1.2.2021 einige bemerkenswerte Entwicklungen durchlaufen: </w:t>
            </w:r>
          </w:p>
          <w:p w:rsidR="00990A0B" w:rsidRPr="00990A0B" w:rsidRDefault="00990A0B" w:rsidP="00990A0B">
            <w:pPr>
              <w:numPr>
                <w:ilvl w:val="0"/>
                <w:numId w:val="2"/>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Seit dem 1. Februar 2022 hat der Dow-Jones-Index einige Schwankungen erlebt. Hier sind einige wichtige Punkte: </w:t>
            </w:r>
          </w:p>
          <w:p w:rsidR="00990A0B" w:rsidRPr="00990A0B" w:rsidRDefault="0037163E" w:rsidP="00990A0B">
            <w:pPr>
              <w:numPr>
                <w:ilvl w:val="1"/>
                <w:numId w:val="2"/>
              </w:numPr>
              <w:spacing w:before="100" w:beforeAutospacing="1" w:after="100" w:afterAutospacing="1" w:line="240" w:lineRule="auto"/>
              <w:ind w:left="2160"/>
              <w:rPr>
                <w:rFonts w:ascii="Times New Roman" w:eastAsia="Times New Roman" w:hAnsi="Times New Roman" w:cs="Times New Roman"/>
                <w:kern w:val="0"/>
                <w:lang w:eastAsia="de-DE"/>
                <w14:ligatures w14:val="none"/>
              </w:rPr>
            </w:pPr>
            <w:hyperlink r:id="rId21" w:history="1">
              <w:r w:rsidR="00990A0B" w:rsidRPr="00990A0B">
                <w:rPr>
                  <w:rFonts w:ascii="Times New Roman" w:eastAsia="Times New Roman" w:hAnsi="Times New Roman" w:cs="Times New Roman"/>
                  <w:color w:val="0000FF"/>
                  <w:kern w:val="0"/>
                  <w:u w:val="single"/>
                  <w:lang w:eastAsia="de-DE"/>
                  <w14:ligatures w14:val="none"/>
                </w:rPr>
                <w:t xml:space="preserve">Februar </w:t>
              </w:r>
              <w:proofErr w:type="gramStart"/>
              <w:r w:rsidR="00990A0B" w:rsidRPr="00990A0B">
                <w:rPr>
                  <w:rFonts w:ascii="Times New Roman" w:eastAsia="Times New Roman" w:hAnsi="Times New Roman" w:cs="Times New Roman"/>
                  <w:color w:val="0000FF"/>
                  <w:kern w:val="0"/>
                  <w:u w:val="single"/>
                  <w:lang w:eastAsia="de-DE"/>
                  <w14:ligatures w14:val="none"/>
                </w:rPr>
                <w:t>2022 :</w:t>
              </w:r>
              <w:proofErr w:type="gramEnd"/>
              <w:r w:rsidR="00990A0B" w:rsidRPr="00990A0B">
                <w:rPr>
                  <w:rFonts w:ascii="Times New Roman" w:eastAsia="Times New Roman" w:hAnsi="Times New Roman" w:cs="Times New Roman"/>
                  <w:color w:val="0000FF"/>
                  <w:kern w:val="0"/>
                  <w:u w:val="single"/>
                  <w:lang w:eastAsia="de-DE"/>
                  <w14:ligatures w14:val="none"/>
                </w:rPr>
                <w:t xml:space="preserve"> Der Dow-Jones-Index begann den Monat bei etwa 35.629 Punkten </w:t>
              </w:r>
            </w:hyperlink>
            <w:hyperlink r:id="rId22" w:history="1">
              <w:r w:rsidR="00990A0B" w:rsidRPr="00990A0B">
                <w:rPr>
                  <w:rFonts w:ascii="Times New Roman" w:eastAsia="Times New Roman" w:hAnsi="Times New Roman" w:cs="Times New Roman"/>
                  <w:color w:val="0000FF"/>
                  <w:kern w:val="0"/>
                  <w:u w:val="single"/>
                  <w:lang w:eastAsia="de-DE"/>
                  <w14:ligatures w14:val="none"/>
                </w:rPr>
                <w:t xml:space="preserve">(Link 1) </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37163E" w:rsidP="00990A0B">
            <w:pPr>
              <w:numPr>
                <w:ilvl w:val="1"/>
                <w:numId w:val="2"/>
              </w:numPr>
              <w:spacing w:before="100" w:beforeAutospacing="1" w:after="100" w:afterAutospacing="1" w:line="240" w:lineRule="auto"/>
              <w:ind w:left="2160"/>
              <w:rPr>
                <w:rFonts w:ascii="Times New Roman" w:eastAsia="Times New Roman" w:hAnsi="Times New Roman" w:cs="Times New Roman"/>
                <w:kern w:val="0"/>
                <w:lang w:eastAsia="de-DE"/>
                <w14:ligatures w14:val="none"/>
              </w:rPr>
            </w:pPr>
            <w:hyperlink r:id="rId23" w:history="1">
              <w:r w:rsidR="00990A0B" w:rsidRPr="00990A0B">
                <w:rPr>
                  <w:rFonts w:ascii="Times New Roman" w:eastAsia="Times New Roman" w:hAnsi="Times New Roman" w:cs="Times New Roman"/>
                  <w:color w:val="0000FF"/>
                  <w:kern w:val="0"/>
                  <w:u w:val="single"/>
                  <w:lang w:eastAsia="de-DE"/>
                  <w14:ligatures w14:val="none"/>
                </w:rPr>
                <w:t xml:space="preserve">Ende </w:t>
              </w:r>
              <w:proofErr w:type="gramStart"/>
              <w:r w:rsidR="00990A0B" w:rsidRPr="00990A0B">
                <w:rPr>
                  <w:rFonts w:ascii="Times New Roman" w:eastAsia="Times New Roman" w:hAnsi="Times New Roman" w:cs="Times New Roman"/>
                  <w:color w:val="0000FF"/>
                  <w:kern w:val="0"/>
                  <w:u w:val="single"/>
                  <w:lang w:eastAsia="de-DE"/>
                  <w14:ligatures w14:val="none"/>
                </w:rPr>
                <w:t>2022 :</w:t>
              </w:r>
              <w:proofErr w:type="gramEnd"/>
              <w:r w:rsidR="00990A0B" w:rsidRPr="00990A0B">
                <w:rPr>
                  <w:rFonts w:ascii="Times New Roman" w:eastAsia="Times New Roman" w:hAnsi="Times New Roman" w:cs="Times New Roman"/>
                  <w:color w:val="0000FF"/>
                  <w:kern w:val="0"/>
                  <w:u w:val="single"/>
                  <w:lang w:eastAsia="de-DE"/>
                  <w14:ligatures w14:val="none"/>
                </w:rPr>
                <w:t xml:space="preserve"> Der Index schloss das Jahr bei etwa 33.147 Punkten, was auf eine hohe Volatilität und wirtschaftliche Unsicherheiten hinweist </w:t>
              </w:r>
            </w:hyperlink>
            <w:hyperlink r:id="rId24" w:history="1">
              <w:r w:rsidR="00990A0B" w:rsidRPr="00990A0B">
                <w:rPr>
                  <w:rFonts w:ascii="Times New Roman" w:eastAsia="Times New Roman" w:hAnsi="Times New Roman" w:cs="Times New Roman"/>
                  <w:color w:val="0000FF"/>
                  <w:kern w:val="0"/>
                  <w:u w:val="single"/>
                  <w:lang w:eastAsia="de-DE"/>
                  <w14:ligatures w14:val="none"/>
                </w:rPr>
                <w:t>(Link 1)</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37163E" w:rsidP="00990A0B">
            <w:pPr>
              <w:numPr>
                <w:ilvl w:val="1"/>
                <w:numId w:val="2"/>
              </w:numPr>
              <w:spacing w:before="100" w:beforeAutospacing="1" w:after="100" w:afterAutospacing="1" w:line="240" w:lineRule="auto"/>
              <w:ind w:left="2160"/>
              <w:rPr>
                <w:rFonts w:ascii="Times New Roman" w:eastAsia="Times New Roman" w:hAnsi="Times New Roman" w:cs="Times New Roman"/>
                <w:kern w:val="0"/>
                <w:lang w:eastAsia="de-DE"/>
                <w14:ligatures w14:val="none"/>
              </w:rPr>
            </w:pPr>
            <w:hyperlink r:id="rId25" w:history="1">
              <w:proofErr w:type="gramStart"/>
              <w:r w:rsidR="00990A0B" w:rsidRPr="00990A0B">
                <w:rPr>
                  <w:rFonts w:ascii="Times New Roman" w:eastAsia="Times New Roman" w:hAnsi="Times New Roman" w:cs="Times New Roman"/>
                  <w:color w:val="0000FF"/>
                  <w:kern w:val="0"/>
                  <w:u w:val="single"/>
                  <w:lang w:eastAsia="de-DE"/>
                  <w14:ligatures w14:val="none"/>
                </w:rPr>
                <w:t>2023 :</w:t>
              </w:r>
              <w:proofErr w:type="gramEnd"/>
              <w:r w:rsidR="00990A0B" w:rsidRPr="00990A0B">
                <w:rPr>
                  <w:rFonts w:ascii="Times New Roman" w:eastAsia="Times New Roman" w:hAnsi="Times New Roman" w:cs="Times New Roman"/>
                  <w:color w:val="0000FF"/>
                  <w:kern w:val="0"/>
                  <w:u w:val="single"/>
                  <w:lang w:eastAsia="de-DE"/>
                  <w14:ligatures w14:val="none"/>
                </w:rPr>
                <w:t xml:space="preserve"> Der Index erholte sich und erreichte Ende des Jahres etwa 37.689,54 Punkte </w:t>
              </w:r>
            </w:hyperlink>
            <w:hyperlink r:id="rId26" w:history="1">
              <w:r w:rsidR="00990A0B" w:rsidRPr="00990A0B">
                <w:rPr>
                  <w:rFonts w:ascii="Times New Roman" w:eastAsia="Times New Roman" w:hAnsi="Times New Roman" w:cs="Times New Roman"/>
                  <w:color w:val="0000FF"/>
                  <w:kern w:val="0"/>
                  <w:u w:val="single"/>
                  <w:lang w:eastAsia="de-DE"/>
                  <w14:ligatures w14:val="none"/>
                </w:rPr>
                <w:t xml:space="preserve">(Link 1) </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37163E" w:rsidP="00990A0B">
            <w:pPr>
              <w:numPr>
                <w:ilvl w:val="1"/>
                <w:numId w:val="2"/>
              </w:numPr>
              <w:spacing w:before="100" w:beforeAutospacing="1" w:after="100" w:afterAutospacing="1" w:line="240" w:lineRule="auto"/>
              <w:ind w:left="2160"/>
              <w:rPr>
                <w:rFonts w:ascii="Times New Roman" w:eastAsia="Times New Roman" w:hAnsi="Times New Roman" w:cs="Times New Roman"/>
                <w:kern w:val="0"/>
                <w:lang w:eastAsia="de-DE"/>
                <w14:ligatures w14:val="none"/>
              </w:rPr>
            </w:pPr>
            <w:hyperlink r:id="rId27" w:history="1">
              <w:r w:rsidR="00990A0B" w:rsidRPr="00990A0B">
                <w:rPr>
                  <w:rFonts w:ascii="Times New Roman" w:eastAsia="Times New Roman" w:hAnsi="Times New Roman" w:cs="Times New Roman"/>
                  <w:color w:val="0000FF"/>
                  <w:kern w:val="0"/>
                  <w:u w:val="single"/>
                  <w:lang w:eastAsia="de-DE"/>
                  <w14:ligatures w14:val="none"/>
                </w:rPr>
                <w:t xml:space="preserve">Am 16. August 2024 schloss der Dow-Jones-Index bei 40.659,76 </w:t>
              </w:r>
              <w:proofErr w:type="gramStart"/>
              <w:r w:rsidR="00990A0B" w:rsidRPr="00990A0B">
                <w:rPr>
                  <w:rFonts w:ascii="Times New Roman" w:eastAsia="Times New Roman" w:hAnsi="Times New Roman" w:cs="Times New Roman"/>
                  <w:color w:val="0000FF"/>
                  <w:kern w:val="0"/>
                  <w:u w:val="single"/>
                  <w:lang w:eastAsia="de-DE"/>
                  <w14:ligatures w14:val="none"/>
                </w:rPr>
                <w:t>Punkten ,</w:t>
              </w:r>
              <w:proofErr w:type="gramEnd"/>
              <w:r w:rsidR="00990A0B" w:rsidRPr="00990A0B">
                <w:rPr>
                  <w:rFonts w:ascii="Times New Roman" w:eastAsia="Times New Roman" w:hAnsi="Times New Roman" w:cs="Times New Roman"/>
                  <w:color w:val="0000FF"/>
                  <w:kern w:val="0"/>
                  <w:u w:val="single"/>
                  <w:lang w:eastAsia="de-DE"/>
                  <w14:ligatures w14:val="none"/>
                </w:rPr>
                <w:t xml:space="preserve"> was einem Anstieg von 0,24 % im Vergleich zum Vortag entspricht </w:t>
              </w:r>
            </w:hyperlink>
            <w:hyperlink r:id="rId28" w:history="1">
              <w:r w:rsidR="00990A0B" w:rsidRPr="00990A0B">
                <w:rPr>
                  <w:rFonts w:ascii="Times New Roman" w:eastAsia="Times New Roman" w:hAnsi="Times New Roman" w:cs="Times New Roman"/>
                  <w:color w:val="0000FF"/>
                  <w:kern w:val="0"/>
                  <w:u w:val="single"/>
                  <w:lang w:eastAsia="de-DE"/>
                  <w14:ligatures w14:val="none"/>
                </w:rPr>
                <w:t xml:space="preserve">(Link 1 </w:t>
              </w:r>
            </w:hyperlink>
            <w:hyperlink r:id="rId29" w:history="1">
              <w:r w:rsidR="00990A0B" w:rsidRPr="00990A0B">
                <w:rPr>
                  <w:rFonts w:ascii="Times New Roman" w:eastAsia="Times New Roman" w:hAnsi="Times New Roman" w:cs="Times New Roman"/>
                  <w:color w:val="0000FF"/>
                  <w:kern w:val="0"/>
                  <w:u w:val="single"/>
                  <w:lang w:eastAsia="de-DE"/>
                  <w14:ligatures w14:val="none"/>
                </w:rPr>
                <w:t xml:space="preserve">2) </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990A0B" w:rsidP="00990A0B">
            <w:p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Diese Entwicklungen spiegeln die wirtschaftlichen und geopolitischen Ereignisse der letzten Jahre wider.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Weitere Informationen: </w:t>
            </w:r>
            <w:hyperlink r:id="rId30" w:tgtFrame="_blank" w:history="1">
              <w:r w:rsidRPr="00990A0B">
                <w:rPr>
                  <w:rFonts w:ascii="Times New Roman" w:eastAsia="Times New Roman" w:hAnsi="Times New Roman" w:cs="Times New Roman"/>
                  <w:color w:val="0000FF"/>
                  <w:kern w:val="0"/>
                  <w:u w:val="single"/>
                  <w:lang w:eastAsia="de-DE"/>
                  <w14:ligatures w14:val="none"/>
                </w:rPr>
                <w:t>1 de.statista.com</w:t>
              </w:r>
              <w:r>
                <w:rPr>
                  <w:rFonts w:ascii="Times New Roman" w:eastAsia="Times New Roman" w:hAnsi="Times New Roman" w:cs="Times New Roman"/>
                  <w:noProof/>
                  <w:color w:val="0000FF"/>
                  <w:kern w:val="0"/>
                  <w:lang w:eastAsia="de-DE"/>
                </w:rPr>
                <w:drawing>
                  <wp:inline distT="0" distB="0" distL="0" distR="0" wp14:anchorId="15AD5467" wp14:editId="358BA03A">
                    <wp:extent cx="114300" cy="114300"/>
                    <wp:effectExtent l="0" t="0" r="0" b="0"/>
                    <wp:docPr id="22" name="Grafik 22"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color w:val="0000FF"/>
                  <w:kern w:val="0"/>
                  <w:u w:val="single"/>
                  <w:lang w:eastAsia="de-DE"/>
                  <w14:ligatures w14:val="none"/>
                </w:rPr>
                <w:t>;</w:t>
              </w:r>
            </w:hyperlink>
            <w:hyperlink r:id="rId31" w:tgtFrame="_blank" w:history="1">
              <w:r w:rsidRPr="00990A0B">
                <w:rPr>
                  <w:rFonts w:ascii="Times New Roman" w:eastAsia="Times New Roman" w:hAnsi="Times New Roman" w:cs="Times New Roman"/>
                  <w:color w:val="0000FF"/>
                  <w:kern w:val="0"/>
                  <w:u w:val="single"/>
                  <w:lang w:eastAsia="de-DE"/>
                  <w14:ligatures w14:val="none"/>
                </w:rPr>
                <w:t xml:space="preserve"> 2 finanzen.net</w:t>
              </w:r>
              <w:r>
                <w:rPr>
                  <w:rFonts w:ascii="Times New Roman" w:eastAsia="Times New Roman" w:hAnsi="Times New Roman" w:cs="Times New Roman"/>
                  <w:noProof/>
                  <w:color w:val="0000FF"/>
                  <w:kern w:val="0"/>
                  <w:lang w:eastAsia="de-DE"/>
                </w:rPr>
                <w:drawing>
                  <wp:inline distT="0" distB="0" distL="0" distR="0" wp14:anchorId="488E9C60" wp14:editId="2211D768">
                    <wp:extent cx="114300" cy="114300"/>
                    <wp:effectExtent l="0" t="0" r="0" b="0"/>
                    <wp:docPr id="21" name="Grafik 21"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color w:val="0000FF"/>
                  <w:kern w:val="0"/>
                  <w:u w:val="single"/>
                  <w:lang w:eastAsia="de-DE"/>
                  <w14:ligatures w14:val="none"/>
                </w:rPr>
                <w:t xml:space="preserve">; </w:t>
              </w:r>
            </w:hyperlink>
            <w:hyperlink r:id="rId32" w:tgtFrame="_blank" w:history="1">
              <w:r w:rsidRPr="00990A0B">
                <w:rPr>
                  <w:rFonts w:ascii="Times New Roman" w:eastAsia="Times New Roman" w:hAnsi="Times New Roman" w:cs="Times New Roman"/>
                  <w:color w:val="0000FF"/>
                  <w:kern w:val="0"/>
                  <w:u w:val="single"/>
                  <w:lang w:eastAsia="de-DE"/>
                  <w14:ligatures w14:val="none"/>
                </w:rPr>
                <w:t>3 macrotrends.net</w:t>
              </w:r>
              <w:r>
                <w:rPr>
                  <w:rFonts w:ascii="Times New Roman" w:eastAsia="Times New Roman" w:hAnsi="Times New Roman" w:cs="Times New Roman"/>
                  <w:noProof/>
                  <w:color w:val="0000FF"/>
                  <w:kern w:val="0"/>
                  <w:lang w:eastAsia="de-DE"/>
                </w:rPr>
                <w:drawing>
                  <wp:inline distT="0" distB="0" distL="0" distR="0" wp14:anchorId="21818407" wp14:editId="00B2D2D2">
                    <wp:extent cx="114300" cy="114300"/>
                    <wp:effectExtent l="0" t="0" r="0" b="0"/>
                    <wp:docPr id="20" name="Grafik 20"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color w:val="0000FF"/>
                  <w:kern w:val="0"/>
                  <w:u w:val="single"/>
                  <w:lang w:eastAsia="de-DE"/>
                  <w14:ligatures w14:val="none"/>
                </w:rPr>
                <w:t xml:space="preserve">; </w:t>
              </w:r>
            </w:hyperlink>
            <w:hyperlink r:id="rId33" w:tgtFrame="_blank" w:history="1">
              <w:r w:rsidRPr="00990A0B">
                <w:rPr>
                  <w:rFonts w:ascii="Times New Roman" w:eastAsia="Times New Roman" w:hAnsi="Times New Roman" w:cs="Times New Roman"/>
                  <w:color w:val="0000FF"/>
                  <w:kern w:val="0"/>
                  <w:u w:val="single"/>
                  <w:lang w:eastAsia="de-DE"/>
                  <w14:ligatures w14:val="none"/>
                </w:rPr>
                <w:t>4 finanzen.net</w:t>
              </w:r>
              <w:r>
                <w:rPr>
                  <w:rFonts w:ascii="Times New Roman" w:eastAsia="Times New Roman" w:hAnsi="Times New Roman" w:cs="Times New Roman"/>
                  <w:noProof/>
                  <w:color w:val="0000FF"/>
                  <w:kern w:val="0"/>
                  <w:lang w:eastAsia="de-DE"/>
                </w:rPr>
                <w:drawing>
                  <wp:inline distT="0" distB="0" distL="0" distR="0" wp14:anchorId="674E6055" wp14:editId="44D296DD">
                    <wp:extent cx="114300" cy="114300"/>
                    <wp:effectExtent l="0" t="0" r="0" b="0"/>
                    <wp:docPr id="19" name="Grafik 19"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color w:val="0000FF"/>
                  <w:kern w:val="0"/>
                  <w:u w:val="single"/>
                  <w:lang w:eastAsia="de-DE"/>
                  <w14:ligatures w14:val="none"/>
                </w:rPr>
                <w:t xml:space="preserve">; </w:t>
              </w:r>
            </w:hyperlink>
            <w:hyperlink r:id="rId34" w:tgtFrame="_blank" w:history="1">
              <w:r w:rsidRPr="00990A0B">
                <w:rPr>
                  <w:rFonts w:ascii="Times New Roman" w:eastAsia="Times New Roman" w:hAnsi="Times New Roman" w:cs="Times New Roman"/>
                  <w:color w:val="0000FF"/>
                  <w:kern w:val="0"/>
                  <w:u w:val="single"/>
                  <w:lang w:eastAsia="de-DE"/>
                  <w14:ligatures w14:val="none"/>
                </w:rPr>
                <w:t>5 boerse.de</w:t>
              </w:r>
              <w:r>
                <w:rPr>
                  <w:rFonts w:ascii="Times New Roman" w:eastAsia="Times New Roman" w:hAnsi="Times New Roman" w:cs="Times New Roman"/>
                  <w:noProof/>
                  <w:color w:val="0000FF"/>
                  <w:kern w:val="0"/>
                  <w:lang w:eastAsia="de-DE"/>
                </w:rPr>
                <w:drawing>
                  <wp:inline distT="0" distB="0" distL="0" distR="0" wp14:anchorId="5DF2767F" wp14:editId="39B8DAA7">
                    <wp:extent cx="114300" cy="114300"/>
                    <wp:effectExtent l="0" t="0" r="0" b="0"/>
                    <wp:docPr id="18" name="Grafik 18"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Charts bei: </w:t>
            </w:r>
            <w:hyperlink r:id="rId35" w:tgtFrame="_blank" w:history="1">
              <w:r w:rsidRPr="00990A0B">
                <w:rPr>
                  <w:rFonts w:ascii="Times New Roman" w:eastAsia="Times New Roman" w:hAnsi="Times New Roman" w:cs="Times New Roman"/>
                  <w:color w:val="0000FF"/>
                  <w:kern w:val="0"/>
                  <w:u w:val="single"/>
                  <w:lang w:eastAsia="de-DE"/>
                  <w14:ligatures w14:val="none"/>
                </w:rPr>
                <w:t>macrotrends.net</w:t>
              </w:r>
            </w:hyperlink>
            <w:r>
              <w:rPr>
                <w:rFonts w:ascii="Times New Roman" w:eastAsia="Times New Roman" w:hAnsi="Times New Roman" w:cs="Times New Roman"/>
                <w:noProof/>
                <w:kern w:val="0"/>
                <w:lang w:eastAsia="de-DE"/>
              </w:rPr>
              <w:drawing>
                <wp:inline distT="0" distB="0" distL="0" distR="0" wp14:anchorId="03A8FD75" wp14:editId="05101B3E">
                  <wp:extent cx="114300" cy="114300"/>
                  <wp:effectExtent l="0" t="0" r="0" b="0"/>
                  <wp:docPr id="17" name="Grafik 17"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 </w:t>
            </w:r>
            <w:hyperlink r:id="rId36" w:tgtFrame="_blank" w:history="1">
              <w:r w:rsidRPr="00990A0B">
                <w:rPr>
                  <w:rFonts w:ascii="Times New Roman" w:eastAsia="Times New Roman" w:hAnsi="Times New Roman" w:cs="Times New Roman"/>
                  <w:color w:val="0000FF"/>
                  <w:kern w:val="0"/>
                  <w:u w:val="single"/>
                  <w:lang w:eastAsia="de-DE"/>
                  <w14:ligatures w14:val="none"/>
                </w:rPr>
                <w:t>wsj.com</w:t>
              </w:r>
              <w:r>
                <w:rPr>
                  <w:rFonts w:ascii="Times New Roman" w:eastAsia="Times New Roman" w:hAnsi="Times New Roman" w:cs="Times New Roman"/>
                  <w:noProof/>
                  <w:color w:val="0000FF"/>
                  <w:kern w:val="0"/>
                  <w:lang w:eastAsia="de-DE"/>
                </w:rPr>
                <w:drawing>
                  <wp:inline distT="0" distB="0" distL="0" distR="0" wp14:anchorId="55F1D3AB" wp14:editId="39521F2A">
                    <wp:extent cx="114300" cy="114300"/>
                    <wp:effectExtent l="0" t="0" r="0" b="0"/>
                    <wp:docPr id="16" name="Grafik 16"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990A0B">
              <w:rPr>
                <w:rFonts w:ascii="Times New Roman" w:eastAsia="Times New Roman" w:hAnsi="Times New Roman" w:cs="Times New Roman"/>
                <w:kern w:val="0"/>
                <w:lang w:eastAsia="de-DE"/>
                <w14:ligatures w14:val="none"/>
              </w:rPr>
              <w:t xml:space="preserve">; </w:t>
            </w:r>
            <w:hyperlink r:id="rId37" w:tgtFrame="_blank" w:history="1">
              <w:r w:rsidRPr="00990A0B">
                <w:rPr>
                  <w:rFonts w:ascii="Times New Roman" w:eastAsia="Times New Roman" w:hAnsi="Times New Roman" w:cs="Times New Roman"/>
                  <w:color w:val="0000FF"/>
                  <w:kern w:val="0"/>
                  <w:u w:val="single"/>
                  <w:lang w:eastAsia="de-DE"/>
                  <w14:ligatures w14:val="none"/>
                </w:rPr>
                <w:t>statistica.com</w:t>
              </w:r>
            </w:hyperlink>
            <w:r>
              <w:rPr>
                <w:rFonts w:ascii="Times New Roman" w:eastAsia="Times New Roman" w:hAnsi="Times New Roman" w:cs="Times New Roman"/>
                <w:noProof/>
                <w:kern w:val="0"/>
                <w:lang w:eastAsia="de-DE"/>
              </w:rPr>
              <w:drawing>
                <wp:inline distT="0" distB="0" distL="0" distR="0" wp14:anchorId="1E825225" wp14:editId="08961EA6">
                  <wp:extent cx="114300" cy="114300"/>
                  <wp:effectExtent l="0" t="0" r="0" b="0"/>
                  <wp:docPr id="15" name="Grafik 15"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Gewinn vor Steuern: 5030€;</w:t>
            </w:r>
            <w:r w:rsidRPr="00990A0B">
              <w:rPr>
                <w:rFonts w:ascii="Times New Roman" w:eastAsia="Times New Roman" w:hAnsi="Times New Roman" w:cs="Times New Roman"/>
                <w:kern w:val="0"/>
                <w:lang w:eastAsia="de-DE"/>
                <w14:ligatures w14:val="none"/>
              </w:rPr>
              <w:br/>
              <w:t xml:space="preserve">Gewinn nach Abgeltungssteuer (25%)=3772,5€; </w:t>
            </w:r>
            <w:r w:rsidRPr="00990A0B">
              <w:rPr>
                <w:rFonts w:ascii="Times New Roman" w:eastAsia="Times New Roman" w:hAnsi="Times New Roman" w:cs="Times New Roman"/>
                <w:kern w:val="0"/>
                <w:lang w:eastAsia="de-DE"/>
                <w14:ligatures w14:val="none"/>
              </w:rPr>
              <w:br/>
              <w:t xml:space="preserve">Gewinn nach Abgeltungssteuer, Soli und Kirchensteuer (28%)=3621,6€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Gesamt-Rendite (vor Steuern)=(40659-35629)/35629*100 =14,11%;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Jährliche Rendite (</w:t>
            </w:r>
            <w:proofErr w:type="spellStart"/>
            <w:r w:rsidRPr="00990A0B">
              <w:rPr>
                <w:rFonts w:ascii="Times New Roman" w:eastAsia="Times New Roman" w:hAnsi="Times New Roman" w:cs="Times New Roman"/>
                <w:kern w:val="0"/>
                <w:lang w:eastAsia="de-DE"/>
                <w14:ligatures w14:val="none"/>
              </w:rPr>
              <w:t>Compound</w:t>
            </w:r>
            <w:proofErr w:type="spellEnd"/>
            <w:r w:rsidRPr="00990A0B">
              <w:rPr>
                <w:rFonts w:ascii="Times New Roman" w:eastAsia="Times New Roman" w:hAnsi="Times New Roman" w:cs="Times New Roman"/>
                <w:kern w:val="0"/>
                <w:lang w:eastAsia="de-DE"/>
                <w14:ligatures w14:val="none"/>
              </w:rPr>
              <w:t xml:space="preserve"> Annual Groth Rate) </w:t>
            </w:r>
            <w:r w:rsidRPr="00990A0B">
              <w:rPr>
                <w:rFonts w:ascii="Times New Roman" w:eastAsia="Times New Roman" w:hAnsi="Times New Roman" w:cs="Times New Roman"/>
                <w:b/>
                <w:bCs/>
                <w:kern w:val="0"/>
                <w:lang w:eastAsia="de-DE"/>
                <w14:ligatures w14:val="none"/>
              </w:rPr>
              <w:br/>
              <w:t>CAGR</w:t>
            </w:r>
            <w:r w:rsidRPr="00990A0B">
              <w:rPr>
                <w:rFonts w:ascii="Times New Roman" w:eastAsia="Times New Roman" w:hAnsi="Times New Roman" w:cs="Times New Roman"/>
                <w:kern w:val="0"/>
                <w:lang w:eastAsia="de-DE"/>
                <w14:ligatures w14:val="none"/>
              </w:rPr>
              <w:t xml:space="preserve"> = ((40659/35629)^(1/2,54)-1)*100 =</w:t>
            </w:r>
            <w:r w:rsidRPr="00990A0B">
              <w:rPr>
                <w:rFonts w:ascii="Times New Roman" w:eastAsia="Times New Roman" w:hAnsi="Times New Roman" w:cs="Times New Roman"/>
                <w:b/>
                <w:bCs/>
                <w:kern w:val="0"/>
                <w:lang w:eastAsia="de-DE"/>
                <w14:ligatures w14:val="none"/>
              </w:rPr>
              <w:t xml:space="preserve">5,3%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Es müssen noch 25% Abgeltungssteuer abgezogen werden: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CAGR</w:t>
            </w:r>
            <w:r w:rsidRPr="00990A0B">
              <w:rPr>
                <w:rFonts w:ascii="Times New Roman" w:eastAsia="Times New Roman" w:hAnsi="Times New Roman" w:cs="Times New Roman"/>
                <w:kern w:val="0"/>
                <w:lang w:eastAsia="de-DE"/>
                <w14:ligatures w14:val="none"/>
              </w:rPr>
              <w:t xml:space="preserve"> = ((39401,5/35629)^(1/2,54)-1)*100 =</w:t>
            </w:r>
            <w:r w:rsidRPr="00990A0B">
              <w:rPr>
                <w:rFonts w:ascii="Times New Roman" w:eastAsia="Times New Roman" w:hAnsi="Times New Roman" w:cs="Times New Roman"/>
                <w:b/>
                <w:bCs/>
                <w:kern w:val="0"/>
                <w:lang w:eastAsia="de-DE"/>
                <w14:ligatures w14:val="none"/>
              </w:rPr>
              <w:t xml:space="preserve">4,07%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mit Soli und Kirchenst</w:t>
            </w:r>
            <w:r>
              <w:rPr>
                <w:rFonts w:ascii="Times New Roman" w:eastAsia="Times New Roman" w:hAnsi="Times New Roman" w:cs="Times New Roman"/>
                <w:kern w:val="0"/>
                <w:lang w:eastAsia="de-DE"/>
                <w14:ligatures w14:val="none"/>
              </w:rPr>
              <w:t>euer</w:t>
            </w:r>
            <w:r w:rsidRPr="00990A0B">
              <w:rPr>
                <w:rFonts w:ascii="Times New Roman" w:eastAsia="Times New Roman" w:hAnsi="Times New Roman" w:cs="Times New Roman"/>
                <w:kern w:val="0"/>
                <w:lang w:eastAsia="de-DE"/>
                <w14:ligatures w14:val="none"/>
              </w:rPr>
              <w:t xml:space="preserve"> sind es 28% Abgeltungssteuer;: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CAGR</w:t>
            </w:r>
            <w:r w:rsidRPr="00990A0B">
              <w:rPr>
                <w:rFonts w:ascii="Times New Roman" w:eastAsia="Times New Roman" w:hAnsi="Times New Roman" w:cs="Times New Roman"/>
                <w:kern w:val="0"/>
                <w:lang w:eastAsia="de-DE"/>
                <w14:ligatures w14:val="none"/>
              </w:rPr>
              <w:t xml:space="preserve"> = ((39250,6/35629)^(1/2,54)-1)*100 =</w:t>
            </w:r>
            <w:r w:rsidRPr="00990A0B">
              <w:rPr>
                <w:rFonts w:ascii="Times New Roman" w:eastAsia="Times New Roman" w:hAnsi="Times New Roman" w:cs="Times New Roman"/>
                <w:b/>
                <w:bCs/>
                <w:kern w:val="0"/>
                <w:lang w:eastAsia="de-DE"/>
                <w14:ligatures w14:val="none"/>
              </w:rPr>
              <w:t xml:space="preserve">3,88%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 xml:space="preserve">Bei </w:t>
            </w:r>
            <w:r w:rsidRPr="00990A0B">
              <w:rPr>
                <w:rFonts w:ascii="Times New Roman" w:eastAsia="Times New Roman" w:hAnsi="Times New Roman" w:cs="Times New Roman"/>
                <w:b/>
                <w:bCs/>
                <w:i/>
                <w:iCs/>
                <w:kern w:val="0"/>
                <w:lang w:eastAsia="de-DE"/>
                <w14:ligatures w14:val="none"/>
              </w:rPr>
              <w:t>Aktien</w:t>
            </w:r>
            <w:r w:rsidRPr="00990A0B">
              <w:rPr>
                <w:rFonts w:ascii="Times New Roman" w:eastAsia="Times New Roman" w:hAnsi="Times New Roman" w:cs="Times New Roman"/>
                <w:b/>
                <w:bCs/>
                <w:kern w:val="0"/>
                <w:lang w:eastAsia="de-DE"/>
                <w14:ligatures w14:val="none"/>
              </w:rPr>
              <w:t xml:space="preserve">-ETFs sind 30% des Gewinns steuerfrei, somit ergibt sich: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CAGR</w:t>
            </w:r>
            <w:r w:rsidRPr="00990A0B">
              <w:rPr>
                <w:rFonts w:ascii="Times New Roman" w:eastAsia="Times New Roman" w:hAnsi="Times New Roman" w:cs="Times New Roman"/>
                <w:kern w:val="0"/>
                <w:lang w:eastAsia="de-DE"/>
                <w14:ligatures w14:val="none"/>
              </w:rPr>
              <w:t xml:space="preserve"> = ((39673,12/35629)^(1/2,54)-1)*100 =</w:t>
            </w:r>
            <w:r w:rsidRPr="00990A0B">
              <w:rPr>
                <w:rFonts w:ascii="Times New Roman" w:eastAsia="Times New Roman" w:hAnsi="Times New Roman" w:cs="Times New Roman"/>
                <w:b/>
                <w:bCs/>
                <w:kern w:val="0"/>
                <w:lang w:eastAsia="de-DE"/>
                <w14:ligatures w14:val="none"/>
              </w:rPr>
              <w:t xml:space="preserve">4,33% </w:t>
            </w:r>
            <w:r w:rsidRPr="00990A0B">
              <w:rPr>
                <w:rFonts w:ascii="Times New Roman" w:eastAsia="Times New Roman" w:hAnsi="Times New Roman" w:cs="Times New Roman"/>
                <w:kern w:val="0"/>
                <w:lang w:eastAsia="de-DE"/>
                <w14:ligatures w14:val="none"/>
              </w:rPr>
              <w:t> </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 xml:space="preserve">fiktiver ETF orientiert am Dow-Jones-Index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5.</w:t>
            </w:r>
            <w:r>
              <w:rPr>
                <w:rFonts w:ascii="Times New Roman" w:eastAsia="Times New Roman" w:hAnsi="Times New Roman" w:cs="Times New Roman"/>
                <w:noProof/>
                <w:color w:val="0000FF"/>
                <w:kern w:val="0"/>
                <w:lang w:eastAsia="de-DE"/>
              </w:rPr>
              <w:drawing>
                <wp:inline distT="0" distB="0" distL="0" distR="0" wp14:anchorId="02228B8B" wp14:editId="025000AF">
                  <wp:extent cx="114300" cy="114300"/>
                  <wp:effectExtent l="0" t="0" r="0" b="0"/>
                  <wp:docPr id="14" name="Grafik 14"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990A0B">
              <w:rPr>
                <w:rFonts w:ascii="Times New Roman" w:eastAsia="Times New Roman" w:hAnsi="Times New Roman" w:cs="Times New Roman"/>
                <w:kern w:val="0"/>
                <w:lang w:val="en-US" w:eastAsia="de-DE"/>
                <w14:ligatures w14:val="none"/>
              </w:rPr>
              <w:t xml:space="preserve">Rendite des iShares Core MSCI World UCITS ETF USD Acc. • A0RPWH • IE00B4L5Y983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val="en-US" w:eastAsia="de-DE"/>
                <w14:ligatures w14:val="none"/>
              </w:rPr>
            </w:pPr>
            <w:proofErr w:type="spellStart"/>
            <w:r w:rsidRPr="00990A0B">
              <w:rPr>
                <w:rFonts w:ascii="Times New Roman" w:eastAsia="Times New Roman" w:hAnsi="Times New Roman" w:cs="Times New Roman"/>
                <w:kern w:val="0"/>
                <w:lang w:val="en-US" w:eastAsia="de-DE"/>
                <w14:ligatures w14:val="none"/>
              </w:rPr>
              <w:t>Chartquelle</w:t>
            </w:r>
            <w:proofErr w:type="spellEnd"/>
            <w:r w:rsidRPr="00990A0B">
              <w:rPr>
                <w:rFonts w:ascii="Times New Roman" w:eastAsia="Times New Roman" w:hAnsi="Times New Roman" w:cs="Times New Roman"/>
                <w:kern w:val="0"/>
                <w:lang w:val="en-US" w:eastAsia="de-DE"/>
                <w14:ligatures w14:val="none"/>
              </w:rPr>
              <w:t xml:space="preserve"> Ovista.de: </w:t>
            </w:r>
            <w:hyperlink r:id="rId38" w:tgtFrame="_blank" w:history="1">
              <w:r w:rsidRPr="00990A0B">
                <w:rPr>
                  <w:rFonts w:ascii="Times New Roman" w:eastAsia="Times New Roman" w:hAnsi="Times New Roman" w:cs="Times New Roman"/>
                  <w:color w:val="0000FF"/>
                  <w:kern w:val="0"/>
                  <w:u w:val="single"/>
                  <w:lang w:val="en-US" w:eastAsia="de-DE"/>
                  <w14:ligatures w14:val="none"/>
                </w:rPr>
                <w:t>https://www.onvista.de/etf/chart/iShares-Core-MSCI-World-ETF-IE00B4L5Y983</w:t>
              </w:r>
            </w:hyperlink>
            <w:r w:rsidRPr="00990A0B">
              <w:rPr>
                <w:rFonts w:ascii="Times New Roman" w:eastAsia="Times New Roman" w:hAnsi="Times New Roman" w:cs="Times New Roman"/>
                <w:kern w:val="0"/>
                <w:lang w:val="en-US" w:eastAsia="de-DE"/>
                <w14:ligatures w14:val="none"/>
              </w:rPr>
              <w:t xml:space="preserve">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Verkauf 12.08.24 92176,00€; Erwerb 3.1.22 79776,00€ 2,608 Jahre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jährliche Rendite:</w:t>
            </w:r>
            <w:r w:rsidRPr="00990A0B">
              <w:rPr>
                <w:rFonts w:ascii="Times New Roman" w:eastAsia="Times New Roman" w:hAnsi="Times New Roman" w:cs="Times New Roman"/>
                <w:kern w:val="0"/>
                <w:lang w:eastAsia="de-DE"/>
                <w14:ligatures w14:val="none"/>
              </w:rPr>
              <w:br/>
              <w:t xml:space="preserve">vor Steuer 5,695%; </w:t>
            </w:r>
            <w:r w:rsidRPr="00990A0B">
              <w:rPr>
                <w:rFonts w:ascii="Times New Roman" w:eastAsia="Times New Roman" w:hAnsi="Times New Roman" w:cs="Times New Roman"/>
                <w:kern w:val="0"/>
                <w:lang w:eastAsia="de-DE"/>
                <w14:ligatures w14:val="none"/>
              </w:rPr>
              <w:br/>
              <w:t xml:space="preserve">nach Abgeltungssteuer 4,318%; </w:t>
            </w:r>
            <w:r w:rsidRPr="00990A0B">
              <w:rPr>
                <w:rFonts w:ascii="Times New Roman" w:eastAsia="Times New Roman" w:hAnsi="Times New Roman" w:cs="Times New Roman"/>
                <w:kern w:val="0"/>
                <w:lang w:eastAsia="de-DE"/>
                <w14:ligatures w14:val="none"/>
              </w:rPr>
              <w:br/>
              <w:t xml:space="preserve">und Nebenabgaben </w:t>
            </w:r>
            <w:proofErr w:type="spellStart"/>
            <w:r w:rsidRPr="00990A0B">
              <w:rPr>
                <w:rFonts w:ascii="Times New Roman" w:eastAsia="Times New Roman" w:hAnsi="Times New Roman" w:cs="Times New Roman"/>
                <w:kern w:val="0"/>
                <w:lang w:eastAsia="de-DE"/>
                <w14:ligatures w14:val="none"/>
              </w:rPr>
              <w:t>Soli+Kirche</w:t>
            </w:r>
            <w:proofErr w:type="spellEnd"/>
            <w:r w:rsidRPr="00990A0B">
              <w:rPr>
                <w:rFonts w:ascii="Times New Roman" w:eastAsia="Times New Roman" w:hAnsi="Times New Roman" w:cs="Times New Roman"/>
                <w:kern w:val="0"/>
                <w:lang w:eastAsia="de-DE"/>
                <w14:ligatures w14:val="none"/>
              </w:rPr>
              <w:t xml:space="preserve"> 4,116% </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Rendite eines MSCI World ETF </w:t>
            </w:r>
          </w:p>
        </w:tc>
      </w:tr>
      <w:bookmarkEnd w:id="4"/>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6.</w:t>
            </w:r>
            <w:bookmarkStart w:id="5" w:name="m6"/>
            <w:bookmarkEnd w:id="5"/>
            <w:r>
              <w:rPr>
                <w:rFonts w:ascii="Times New Roman" w:eastAsia="Times New Roman" w:hAnsi="Times New Roman" w:cs="Times New Roman"/>
                <w:noProof/>
                <w:color w:val="0000FF"/>
                <w:kern w:val="0"/>
                <w:lang w:eastAsia="de-DE"/>
              </w:rPr>
              <w:drawing>
                <wp:inline distT="0" distB="0" distL="0" distR="0" wp14:anchorId="5236DAFE" wp14:editId="1D7C3390">
                  <wp:extent cx="114300" cy="114300"/>
                  <wp:effectExtent l="0" t="0" r="0" b="0"/>
                  <wp:docPr id="13" name="Grafik 13"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Vergleich gemanagter Fond, Dow-Jones (steuerbereinigt), </w:t>
            </w:r>
            <w:proofErr w:type="spellStart"/>
            <w:r w:rsidRPr="00990A0B">
              <w:rPr>
                <w:rFonts w:ascii="Times New Roman" w:eastAsia="Times New Roman" w:hAnsi="Times New Roman" w:cs="Times New Roman"/>
                <w:kern w:val="0"/>
                <w:lang w:eastAsia="de-DE"/>
                <w14:ligatures w14:val="none"/>
              </w:rPr>
              <w:t>iShares</w:t>
            </w:r>
            <w:proofErr w:type="spellEnd"/>
            <w:r w:rsidRPr="00990A0B">
              <w:rPr>
                <w:rFonts w:ascii="Times New Roman" w:eastAsia="Times New Roman" w:hAnsi="Times New Roman" w:cs="Times New Roman"/>
                <w:kern w:val="0"/>
                <w:lang w:eastAsia="de-DE"/>
                <w14:ligatures w14:val="none"/>
              </w:rPr>
              <w:t xml:space="preserve"> Core MSCI World;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1. gemanagter Fond: 2,2% (+ 1,5% Bankprovision = 3,7%) </w:t>
            </w:r>
            <w:r w:rsidRPr="00990A0B">
              <w:rPr>
                <w:rFonts w:ascii="Times New Roman" w:eastAsia="Times New Roman" w:hAnsi="Times New Roman" w:cs="Times New Roman"/>
                <w:kern w:val="0"/>
                <w:lang w:eastAsia="de-DE"/>
                <w14:ligatures w14:val="none"/>
              </w:rPr>
              <w:br/>
              <w:t xml:space="preserve">2. fiktiver Dow-Jones 4,07% </w:t>
            </w:r>
            <w:r w:rsidRPr="00990A0B">
              <w:rPr>
                <w:rFonts w:ascii="Times New Roman" w:eastAsia="Times New Roman" w:hAnsi="Times New Roman" w:cs="Times New Roman"/>
                <w:kern w:val="0"/>
                <w:lang w:eastAsia="de-DE"/>
                <w14:ligatures w14:val="none"/>
              </w:rPr>
              <w:br/>
              <w:t xml:space="preserve">3. </w:t>
            </w:r>
            <w:proofErr w:type="spellStart"/>
            <w:r w:rsidRPr="00990A0B">
              <w:rPr>
                <w:rFonts w:ascii="Times New Roman" w:eastAsia="Times New Roman" w:hAnsi="Times New Roman" w:cs="Times New Roman"/>
                <w:kern w:val="0"/>
                <w:lang w:eastAsia="de-DE"/>
                <w14:ligatures w14:val="none"/>
              </w:rPr>
              <w:t>iShares</w:t>
            </w:r>
            <w:proofErr w:type="spellEnd"/>
            <w:r w:rsidRPr="00990A0B">
              <w:rPr>
                <w:rFonts w:ascii="Times New Roman" w:eastAsia="Times New Roman" w:hAnsi="Times New Roman" w:cs="Times New Roman"/>
                <w:kern w:val="0"/>
                <w:lang w:eastAsia="de-DE"/>
                <w14:ligatures w14:val="none"/>
              </w:rPr>
              <w:t xml:space="preserve"> MSCI World 4,116%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Dabei ist die Steuerfreiheit von 30% des Gewinns bei 2. und 3. nicht berücksichtigt, die wahrscheinlich im gemanagten Fond bereits enthalten sind. Das stellt noch einmal etwa 0,4% zusätzlich dar.</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 xml:space="preserve">Könnte man den Dow-Jones als Fond abbilden oder </w:t>
            </w:r>
            <w:r w:rsidRPr="00990A0B">
              <w:rPr>
                <w:rFonts w:ascii="Times New Roman" w:eastAsia="Times New Roman" w:hAnsi="Times New Roman" w:cs="Times New Roman"/>
                <w:b/>
                <w:bCs/>
                <w:kern w:val="0"/>
                <w:lang w:eastAsia="de-DE"/>
                <w14:ligatures w14:val="none"/>
              </w:rPr>
              <w:br/>
            </w:r>
            <w:proofErr w:type="spellStart"/>
            <w:r w:rsidRPr="00990A0B">
              <w:rPr>
                <w:rFonts w:ascii="Times New Roman" w:eastAsia="Times New Roman" w:hAnsi="Times New Roman" w:cs="Times New Roman"/>
                <w:b/>
                <w:bCs/>
                <w:kern w:val="0"/>
                <w:lang w:eastAsia="de-DE"/>
                <w14:ligatures w14:val="none"/>
              </w:rPr>
              <w:t>iShares</w:t>
            </w:r>
            <w:proofErr w:type="spellEnd"/>
            <w:r w:rsidRPr="00990A0B">
              <w:rPr>
                <w:rFonts w:ascii="Times New Roman" w:eastAsia="Times New Roman" w:hAnsi="Times New Roman" w:cs="Times New Roman"/>
                <w:b/>
                <w:bCs/>
                <w:kern w:val="0"/>
                <w:lang w:eastAsia="de-DE"/>
                <w14:ligatures w14:val="none"/>
              </w:rPr>
              <w:t xml:space="preserve"> kaufen, würde man gegenüber dem Bank-gema</w:t>
            </w:r>
            <w:r>
              <w:rPr>
                <w:rFonts w:ascii="Times New Roman" w:eastAsia="Times New Roman" w:hAnsi="Times New Roman" w:cs="Times New Roman"/>
                <w:b/>
                <w:bCs/>
                <w:kern w:val="0"/>
                <w:lang w:eastAsia="de-DE"/>
                <w14:ligatures w14:val="none"/>
              </w:rPr>
              <w:t>na</w:t>
            </w:r>
            <w:r w:rsidRPr="00990A0B">
              <w:rPr>
                <w:rFonts w:ascii="Times New Roman" w:eastAsia="Times New Roman" w:hAnsi="Times New Roman" w:cs="Times New Roman"/>
                <w:b/>
                <w:bCs/>
                <w:kern w:val="0"/>
                <w:lang w:eastAsia="de-DE"/>
                <w14:ligatures w14:val="none"/>
              </w:rPr>
              <w:t>gten Fond</w:t>
            </w:r>
            <w:r w:rsidRPr="00990A0B">
              <w:rPr>
                <w:rFonts w:ascii="Times New Roman" w:eastAsia="Times New Roman" w:hAnsi="Times New Roman" w:cs="Times New Roman"/>
                <w:b/>
                <w:bCs/>
                <w:kern w:val="0"/>
                <w:lang w:eastAsia="de-DE"/>
                <w14:ligatures w14:val="none"/>
              </w:rPr>
              <w:br/>
              <w:t xml:space="preserve">etwa 1,9% (2,3%) pro Jahr mehr Gewinn machen. </w:t>
            </w:r>
            <w:r w:rsidRPr="00990A0B">
              <w:rPr>
                <w:rFonts w:ascii="Times New Roman" w:eastAsia="Times New Roman" w:hAnsi="Times New Roman" w:cs="Times New Roman"/>
                <w:b/>
                <w:bCs/>
                <w:kern w:val="0"/>
                <w:lang w:eastAsia="de-DE"/>
                <w14:ligatures w14:val="none"/>
              </w:rPr>
              <w:br/>
              <w:t xml:space="preserve">Das sind bei 100.000,00€ etwa 1900€ (2300€) pro Jahr! </w:t>
            </w:r>
            <w:r w:rsidRPr="00990A0B">
              <w:rPr>
                <w:rFonts w:ascii="Times New Roman" w:eastAsia="Times New Roman" w:hAnsi="Times New Roman" w:cs="Times New Roman"/>
                <w:kern w:val="0"/>
                <w:lang w:eastAsia="de-DE"/>
                <w14:ligatures w14:val="none"/>
              </w:rPr>
              <w:t> </w:t>
            </w:r>
          </w:p>
        </w:tc>
        <w:tc>
          <w:tcPr>
            <w:tcW w:w="829" w:type="pct"/>
            <w:hideMark/>
          </w:tcPr>
          <w:p w:rsidR="00990A0B" w:rsidRPr="00990A0B" w:rsidRDefault="00990A0B" w:rsidP="00990A0B">
            <w:pPr>
              <w:spacing w:before="100" w:beforeAutospacing="1" w:after="100" w:afterAutospacing="1"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Vergleich</w:t>
            </w:r>
          </w:p>
          <w:p w:rsidR="00990A0B" w:rsidRPr="00990A0B" w:rsidRDefault="00990A0B" w:rsidP="00990A0B">
            <w:pPr>
              <w:spacing w:before="100" w:beforeAutospacing="1" w:after="100" w:afterAutospacing="1"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Bank / </w:t>
            </w:r>
            <w:r w:rsidRPr="00990A0B">
              <w:rPr>
                <w:rFonts w:ascii="Times New Roman" w:eastAsia="Times New Roman" w:hAnsi="Times New Roman" w:cs="Times New Roman"/>
                <w:kern w:val="0"/>
                <w:lang w:eastAsia="de-DE"/>
                <w14:ligatures w14:val="none"/>
              </w:rPr>
              <w:br/>
              <w:t xml:space="preserve">Dow-Jones / MSCI World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7.</w:t>
            </w:r>
            <w:bookmarkStart w:id="6" w:name="m7"/>
            <w:bookmarkEnd w:id="6"/>
            <w:r>
              <w:rPr>
                <w:rFonts w:ascii="Times New Roman" w:eastAsia="Times New Roman" w:hAnsi="Times New Roman" w:cs="Times New Roman"/>
                <w:noProof/>
                <w:color w:val="0000FF"/>
                <w:kern w:val="0"/>
                <w:lang w:eastAsia="de-DE"/>
              </w:rPr>
              <w:drawing>
                <wp:inline distT="0" distB="0" distL="0" distR="0" wp14:anchorId="40D2DFB9" wp14:editId="74DD8FD3">
                  <wp:extent cx="114300" cy="114300"/>
                  <wp:effectExtent l="0" t="0" r="0" b="0"/>
                  <wp:docPr id="12" name="Grafik 12"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Inflationsverlust</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 xml:space="preserve">Frage an </w:t>
            </w:r>
            <w:proofErr w:type="spellStart"/>
            <w:r w:rsidRPr="00990A0B">
              <w:rPr>
                <w:rFonts w:ascii="Times New Roman" w:eastAsia="Times New Roman" w:hAnsi="Times New Roman" w:cs="Times New Roman"/>
                <w:b/>
                <w:bCs/>
                <w:kern w:val="0"/>
                <w:lang w:eastAsia="de-DE"/>
                <w14:ligatures w14:val="none"/>
              </w:rPr>
              <w:t>copilot</w:t>
            </w:r>
            <w:proofErr w:type="spellEnd"/>
            <w:r w:rsidRPr="00990A0B">
              <w:rPr>
                <w:rFonts w:ascii="Times New Roman" w:eastAsia="Times New Roman" w:hAnsi="Times New Roman" w:cs="Times New Roman"/>
                <w:b/>
                <w:bCs/>
                <w:kern w:val="0"/>
                <w:lang w:eastAsia="de-DE"/>
                <w14:ligatures w14:val="none"/>
              </w:rPr>
              <w:t>:</w:t>
            </w:r>
            <w:r w:rsidRPr="00990A0B">
              <w:rPr>
                <w:rFonts w:ascii="Times New Roman" w:eastAsia="Times New Roman" w:hAnsi="Times New Roman" w:cs="Times New Roman"/>
                <w:kern w:val="0"/>
                <w:lang w:eastAsia="de-DE"/>
                <w14:ligatures w14:val="none"/>
              </w:rPr>
              <w:t xml:space="preserve"> Wie groß ist der mittlere Inflationsverlust in Deutschland vom 1.2.2022 bis zu 1.8,2024 gewesen?</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 xml:space="preserve">Antwort Copilot: </w:t>
            </w:r>
          </w:p>
          <w:p w:rsidR="00990A0B" w:rsidRPr="00990A0B" w:rsidRDefault="0037163E" w:rsidP="00990A0B">
            <w:pPr>
              <w:numPr>
                <w:ilvl w:val="0"/>
                <w:numId w:val="3"/>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hyperlink r:id="rId39" w:history="1">
              <w:proofErr w:type="gramStart"/>
              <w:r w:rsidR="00990A0B" w:rsidRPr="00990A0B">
                <w:rPr>
                  <w:rFonts w:ascii="Times New Roman" w:eastAsia="Times New Roman" w:hAnsi="Times New Roman" w:cs="Times New Roman"/>
                  <w:color w:val="0000FF"/>
                  <w:kern w:val="0"/>
                  <w:u w:val="single"/>
                  <w:lang w:eastAsia="de-DE"/>
                  <w14:ligatures w14:val="none"/>
                </w:rPr>
                <w:t>2022 :</w:t>
              </w:r>
              <w:proofErr w:type="gramEnd"/>
              <w:r w:rsidR="00990A0B" w:rsidRPr="00990A0B">
                <w:rPr>
                  <w:rFonts w:ascii="Times New Roman" w:eastAsia="Times New Roman" w:hAnsi="Times New Roman" w:cs="Times New Roman"/>
                  <w:color w:val="0000FF"/>
                  <w:kern w:val="0"/>
                  <w:u w:val="single"/>
                  <w:lang w:eastAsia="de-DE"/>
                  <w14:ligatures w14:val="none"/>
                </w:rPr>
                <w:t xml:space="preserve"> Die durchschnittliche Inflationsrate lag bei etwa 7,9 % </w:t>
              </w:r>
            </w:hyperlink>
            <w:hyperlink r:id="rId40" w:history="1">
              <w:r w:rsidR="00990A0B" w:rsidRPr="00990A0B">
                <w:rPr>
                  <w:rFonts w:ascii="Times New Roman" w:eastAsia="Times New Roman" w:hAnsi="Times New Roman" w:cs="Times New Roman"/>
                  <w:color w:val="0000FF"/>
                  <w:kern w:val="0"/>
                  <w:u w:val="single"/>
                  <w:lang w:eastAsia="de-DE"/>
                  <w14:ligatures w14:val="none"/>
                </w:rPr>
                <w:t xml:space="preserve">(Link 1) </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37163E" w:rsidP="00990A0B">
            <w:pPr>
              <w:numPr>
                <w:ilvl w:val="0"/>
                <w:numId w:val="3"/>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hyperlink r:id="rId41" w:history="1">
              <w:proofErr w:type="gramStart"/>
              <w:r w:rsidR="00990A0B" w:rsidRPr="00990A0B">
                <w:rPr>
                  <w:rFonts w:ascii="Times New Roman" w:eastAsia="Times New Roman" w:hAnsi="Times New Roman" w:cs="Times New Roman"/>
                  <w:color w:val="0000FF"/>
                  <w:kern w:val="0"/>
                  <w:u w:val="single"/>
                  <w:lang w:eastAsia="de-DE"/>
                  <w14:ligatures w14:val="none"/>
                </w:rPr>
                <w:t>2023 :</w:t>
              </w:r>
              <w:proofErr w:type="gramEnd"/>
              <w:r w:rsidR="00990A0B" w:rsidRPr="00990A0B">
                <w:rPr>
                  <w:rFonts w:ascii="Times New Roman" w:eastAsia="Times New Roman" w:hAnsi="Times New Roman" w:cs="Times New Roman"/>
                  <w:color w:val="0000FF"/>
                  <w:kern w:val="0"/>
                  <w:u w:val="single"/>
                  <w:lang w:eastAsia="de-DE"/>
                  <w14:ligatures w14:val="none"/>
                </w:rPr>
                <w:t xml:space="preserve"> Die Inflationsrate betrug im Durchschnitt 5,9 % </w:t>
              </w:r>
            </w:hyperlink>
            <w:hyperlink r:id="rId42" w:history="1">
              <w:r w:rsidR="00990A0B" w:rsidRPr="00990A0B">
                <w:rPr>
                  <w:rFonts w:ascii="Times New Roman" w:eastAsia="Times New Roman" w:hAnsi="Times New Roman" w:cs="Times New Roman"/>
                  <w:color w:val="0000FF"/>
                  <w:kern w:val="0"/>
                  <w:u w:val="single"/>
                  <w:lang w:eastAsia="de-DE"/>
                  <w14:ligatures w14:val="none"/>
                </w:rPr>
                <w:t>(Link 2)</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37163E" w:rsidP="00990A0B">
            <w:pPr>
              <w:numPr>
                <w:ilvl w:val="0"/>
                <w:numId w:val="3"/>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hyperlink r:id="rId43" w:history="1">
              <w:proofErr w:type="gramStart"/>
              <w:r w:rsidR="00990A0B" w:rsidRPr="00990A0B">
                <w:rPr>
                  <w:rFonts w:ascii="Times New Roman" w:eastAsia="Times New Roman" w:hAnsi="Times New Roman" w:cs="Times New Roman"/>
                  <w:color w:val="0000FF"/>
                  <w:kern w:val="0"/>
                  <w:u w:val="single"/>
                  <w:lang w:eastAsia="de-DE"/>
                  <w14:ligatures w14:val="none"/>
                </w:rPr>
                <w:t>2024 :</w:t>
              </w:r>
              <w:proofErr w:type="gramEnd"/>
              <w:r w:rsidR="00990A0B" w:rsidRPr="00990A0B">
                <w:rPr>
                  <w:rFonts w:ascii="Times New Roman" w:eastAsia="Times New Roman" w:hAnsi="Times New Roman" w:cs="Times New Roman"/>
                  <w:color w:val="0000FF"/>
                  <w:kern w:val="0"/>
                  <w:u w:val="single"/>
                  <w:lang w:eastAsia="de-DE"/>
                  <w14:ligatures w14:val="none"/>
                </w:rPr>
                <w:t xml:space="preserve"> Bis Juli 2024 lag die Inflationsrate bei etwa 2,3 % </w:t>
              </w:r>
            </w:hyperlink>
            <w:hyperlink r:id="rId44" w:history="1">
              <w:r w:rsidR="00990A0B" w:rsidRPr="00990A0B">
                <w:rPr>
                  <w:rFonts w:ascii="Times New Roman" w:eastAsia="Times New Roman" w:hAnsi="Times New Roman" w:cs="Times New Roman"/>
                  <w:color w:val="0000FF"/>
                  <w:kern w:val="0"/>
                  <w:u w:val="single"/>
                  <w:lang w:eastAsia="de-DE"/>
                  <w14:ligatures w14:val="none"/>
                </w:rPr>
                <w:t xml:space="preserve">(Link 3) </w:t>
              </w:r>
            </w:hyperlink>
            <w:r w:rsidR="00990A0B" w:rsidRPr="00990A0B">
              <w:rPr>
                <w:rFonts w:ascii="Times New Roman" w:eastAsia="Times New Roman" w:hAnsi="Times New Roman" w:cs="Times New Roman"/>
                <w:kern w:val="0"/>
                <w:lang w:eastAsia="de-DE"/>
                <w14:ligatures w14:val="none"/>
              </w:rPr>
              <w:t xml:space="preserve">.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Um den mittleren Inflationsverlust für den Zeitraum vom 1. Februar 2022 bis zum 1. August 2024 zu berechnen, können wir die durchschnittlichen Inflationsraten der Jahre 2022, 2023 und die ersten sieben Monate von 2024 berücksichtigen.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Weitere Informationen </w:t>
            </w:r>
          </w:p>
          <w:p w:rsidR="00990A0B" w:rsidRPr="00990A0B" w:rsidRDefault="0037163E"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hyperlink r:id="rId45" w:history="1">
              <w:r w:rsidR="00990A0B" w:rsidRPr="00990A0B">
                <w:rPr>
                  <w:rFonts w:ascii="Times New Roman" w:eastAsia="Times New Roman" w:hAnsi="Times New Roman" w:cs="Times New Roman"/>
                  <w:color w:val="0000FF"/>
                  <w:kern w:val="0"/>
                  <w:u w:val="single"/>
                  <w:lang w:eastAsia="de-DE"/>
                  <w14:ligatures w14:val="none"/>
                </w:rPr>
                <w:t xml:space="preserve">1 destatis.de </w:t>
              </w:r>
            </w:hyperlink>
            <w:hyperlink r:id="rId46" w:history="1">
              <w:r w:rsidR="00990A0B" w:rsidRPr="00990A0B">
                <w:rPr>
                  <w:rFonts w:ascii="Times New Roman" w:eastAsia="Times New Roman" w:hAnsi="Times New Roman" w:cs="Times New Roman"/>
                  <w:color w:val="0000FF"/>
                  <w:kern w:val="0"/>
                  <w:u w:val="single"/>
                  <w:lang w:eastAsia="de-DE"/>
                  <w14:ligatures w14:val="none"/>
                </w:rPr>
                <w:t xml:space="preserve">2 finanz-tools.de </w:t>
              </w:r>
            </w:hyperlink>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bCs/>
                <w:kern w:val="0"/>
                <w:lang w:eastAsia="de-DE"/>
                <w14:ligatures w14:val="none"/>
              </w:rPr>
              <w:t>Das geometrische Mittel der Inflationsraten Jahre n =2 7/12 =2,5833</w:t>
            </w:r>
            <w:r w:rsidRPr="00990A0B">
              <w:rPr>
                <w:rFonts w:ascii="Times New Roman" w:eastAsia="Times New Roman" w:hAnsi="Times New Roman" w:cs="Times New Roman"/>
                <w:b/>
                <w:bCs/>
                <w:kern w:val="0"/>
                <w:lang w:eastAsia="de-DE"/>
                <w14:ligatures w14:val="none"/>
              </w:rPr>
              <w:br/>
              <w:t xml:space="preserve">Inflationsrate x(geometrisch) = ((7,9*5,9*2,3)^(1/2,5833) = 6,1% </w:t>
            </w:r>
            <w:r w:rsidRPr="00990A0B">
              <w:rPr>
                <w:rFonts w:ascii="Times New Roman" w:eastAsia="Times New Roman" w:hAnsi="Times New Roman" w:cs="Times New Roman"/>
                <w:kern w:val="0"/>
                <w:lang w:eastAsia="de-DE"/>
                <w14:ligatures w14:val="none"/>
              </w:rPr>
              <w:t> </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Inflation</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lastRenderedPageBreak/>
              <w:t>8.</w:t>
            </w:r>
            <w:bookmarkStart w:id="7" w:name="m8"/>
            <w:bookmarkEnd w:id="7"/>
            <w:r>
              <w:rPr>
                <w:rFonts w:ascii="Times New Roman" w:eastAsia="Times New Roman" w:hAnsi="Times New Roman" w:cs="Times New Roman"/>
                <w:noProof/>
                <w:color w:val="0000FF"/>
                <w:kern w:val="0"/>
                <w:lang w:eastAsia="de-DE"/>
              </w:rPr>
              <w:drawing>
                <wp:inline distT="0" distB="0" distL="0" distR="0" wp14:anchorId="72E386C3" wp14:editId="1DB5E373">
                  <wp:extent cx="114300" cy="114300"/>
                  <wp:effectExtent l="0" t="0" r="0" b="0"/>
                  <wp:docPr id="11" name="Grafik 11" descr="C:\Users\KGH\Downloads\PROJEKTE - Ökonomie_files\arrow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GH\Downloads\PROJEKTE - Ökonomie_files\arrow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Gegenüberstellung des Euro </w:t>
            </w:r>
            <w:proofErr w:type="spellStart"/>
            <w:r w:rsidRPr="00990A0B">
              <w:rPr>
                <w:rFonts w:ascii="Times New Roman" w:eastAsia="Times New Roman" w:hAnsi="Times New Roman" w:cs="Times New Roman"/>
                <w:kern w:val="0"/>
                <w:lang w:eastAsia="de-DE"/>
                <w14:ligatures w14:val="none"/>
              </w:rPr>
              <w:t>S</w:t>
            </w:r>
            <w:r>
              <w:rPr>
                <w:rFonts w:ascii="Times New Roman" w:eastAsia="Times New Roman" w:hAnsi="Times New Roman" w:cs="Times New Roman"/>
                <w:kern w:val="0"/>
                <w:lang w:eastAsia="de-DE"/>
                <w14:ligatures w14:val="none"/>
              </w:rPr>
              <w:t>tox</w:t>
            </w:r>
            <w:proofErr w:type="spellEnd"/>
            <w:r w:rsidRPr="00990A0B">
              <w:rPr>
                <w:rFonts w:ascii="Times New Roman" w:eastAsia="Times New Roman" w:hAnsi="Times New Roman" w:cs="Times New Roman"/>
                <w:kern w:val="0"/>
                <w:lang w:eastAsia="de-DE"/>
                <w14:ligatures w14:val="none"/>
              </w:rPr>
              <w:t xml:space="preserve"> 50 mit Einlagenkonto der Sparkasse </w:t>
            </w:r>
            <w:proofErr w:type="spellStart"/>
            <w:r w:rsidRPr="00990A0B">
              <w:rPr>
                <w:rFonts w:ascii="Times New Roman" w:eastAsia="Times New Roman" w:hAnsi="Times New Roman" w:cs="Times New Roman"/>
                <w:kern w:val="0"/>
                <w:lang w:eastAsia="de-DE"/>
                <w14:ligatures w14:val="none"/>
              </w:rPr>
              <w:t>Ms</w:t>
            </w:r>
            <w:proofErr w:type="spellEnd"/>
            <w:r w:rsidRPr="00990A0B">
              <w:rPr>
                <w:rFonts w:ascii="Times New Roman" w:eastAsia="Times New Roman" w:hAnsi="Times New Roman" w:cs="Times New Roman"/>
                <w:kern w:val="0"/>
                <w:lang w:eastAsia="de-DE"/>
                <w14:ligatures w14:val="none"/>
              </w:rPr>
              <w:t xml:space="preserve"> Ost </w:t>
            </w:r>
            <w:r w:rsidRPr="00990A0B">
              <w:rPr>
                <w:rFonts w:ascii="Times New Roman" w:eastAsia="Times New Roman" w:hAnsi="Times New Roman" w:cs="Times New Roman"/>
                <w:kern w:val="0"/>
                <w:lang w:eastAsia="de-DE"/>
                <w14:ligatures w14:val="none"/>
              </w:rPr>
              <w:br/>
              <w:t>ISIN: LU2339785821; DEKA-Nachhaltigkeit Aktien Europa CF und</w:t>
            </w:r>
            <w:r w:rsidRPr="00990A0B">
              <w:rPr>
                <w:rFonts w:ascii="Times New Roman" w:eastAsia="Times New Roman" w:hAnsi="Times New Roman" w:cs="Times New Roman"/>
                <w:kern w:val="0"/>
                <w:lang w:eastAsia="de-DE"/>
                <w14:ligatures w14:val="none"/>
              </w:rPr>
              <w:br/>
              <w:t xml:space="preserve">ISIN: XF453999V199; </w:t>
            </w:r>
            <w:proofErr w:type="spellStart"/>
            <w:r w:rsidRPr="00990A0B">
              <w:rPr>
                <w:rFonts w:ascii="Times New Roman" w:eastAsia="Times New Roman" w:hAnsi="Times New Roman" w:cs="Times New Roman"/>
                <w:kern w:val="0"/>
                <w:lang w:eastAsia="de-DE"/>
                <w14:ligatures w14:val="none"/>
              </w:rPr>
              <w:t>DynamikDepot</w:t>
            </w:r>
            <w:proofErr w:type="spellEnd"/>
            <w:r w:rsidRPr="00990A0B">
              <w:rPr>
                <w:rFonts w:ascii="Times New Roman" w:eastAsia="Times New Roman" w:hAnsi="Times New Roman" w:cs="Times New Roman"/>
                <w:kern w:val="0"/>
                <w:lang w:eastAsia="de-DE"/>
                <w14:ligatures w14:val="none"/>
              </w:rPr>
              <w:t xml:space="preserve"> Chance , SDD Produktfamilie </w:t>
            </w:r>
          </w:p>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b/>
                <w:kern w:val="0"/>
                <w:lang w:eastAsia="de-DE"/>
                <w14:ligatures w14:val="none"/>
              </w:rPr>
              <w:t xml:space="preserve">Frage an </w:t>
            </w:r>
            <w:proofErr w:type="spellStart"/>
            <w:r w:rsidRPr="00990A0B">
              <w:rPr>
                <w:rFonts w:ascii="Times New Roman" w:eastAsia="Times New Roman" w:hAnsi="Times New Roman" w:cs="Times New Roman"/>
                <w:b/>
                <w:kern w:val="0"/>
                <w:lang w:eastAsia="de-DE"/>
                <w14:ligatures w14:val="none"/>
              </w:rPr>
              <w:t>copilot</w:t>
            </w:r>
            <w:proofErr w:type="spellEnd"/>
            <w:r w:rsidRPr="00990A0B">
              <w:rPr>
                <w:rFonts w:ascii="Times New Roman" w:eastAsia="Times New Roman" w:hAnsi="Times New Roman" w:cs="Times New Roman"/>
                <w:kern w:val="0"/>
                <w:lang w:eastAsia="de-DE"/>
                <w14:ligatures w14:val="none"/>
              </w:rPr>
              <w:t xml:space="preserve">: Wo finde ich die Charts des 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der letzten 30 Jahre?</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br/>
              <w:t>Antwort:</w:t>
            </w:r>
            <w:r w:rsidRPr="00990A0B">
              <w:rPr>
                <w:rFonts w:ascii="Times New Roman" w:eastAsia="Times New Roman" w:hAnsi="Times New Roman" w:cs="Times New Roman"/>
                <w:kern w:val="0"/>
                <w:lang w:eastAsia="de-DE"/>
                <w14:ligatures w14:val="none"/>
              </w:rPr>
              <w:br/>
              <w:t xml:space="preserve">Du kannst die Charts des 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der letzten 30 Jahre auf verschiedenen Finanzwebseiten finden. Hier sind einige nützliche Links: </w:t>
            </w:r>
          </w:p>
          <w:p w:rsidR="00990A0B" w:rsidRPr="00990A0B" w:rsidRDefault="00990A0B" w:rsidP="00990A0B">
            <w:pPr>
              <w:numPr>
                <w:ilvl w:val="0"/>
                <w:numId w:val="4"/>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boerse.de: Diese Seite bietet langfristige Charts des 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seit 1991. </w:t>
            </w:r>
          </w:p>
          <w:p w:rsidR="00990A0B" w:rsidRPr="00990A0B" w:rsidRDefault="00990A0B" w:rsidP="00990A0B">
            <w:pPr>
              <w:numPr>
                <w:ilvl w:val="0"/>
                <w:numId w:val="4"/>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Investing.com: Diese Seite bietet historische Daten für den 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einschließlich Schlusskurs, Eröffnungskurs, Hoch, Tief und prozentuale Veränderungen. </w:t>
            </w:r>
          </w:p>
          <w:p w:rsidR="00990A0B" w:rsidRPr="00990A0B" w:rsidRDefault="00990A0B" w:rsidP="00990A0B">
            <w:pPr>
              <w:numPr>
                <w:ilvl w:val="0"/>
                <w:numId w:val="4"/>
              </w:numPr>
              <w:spacing w:before="100" w:beforeAutospacing="1" w:after="100" w:afterAutospacing="1" w:line="240" w:lineRule="auto"/>
              <w:ind w:left="1440"/>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Wall Street Journal: Hier findest du historische Preise und Charts des 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Weitere Informationen </w:t>
            </w:r>
          </w:p>
          <w:p w:rsidR="00990A0B" w:rsidRDefault="0037163E"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hyperlink r:id="rId47" w:history="1">
              <w:r w:rsidR="00990A0B" w:rsidRPr="00990A0B">
                <w:rPr>
                  <w:rFonts w:ascii="Times New Roman" w:eastAsia="Times New Roman" w:hAnsi="Times New Roman" w:cs="Times New Roman"/>
                  <w:color w:val="0000FF"/>
                  <w:kern w:val="0"/>
                  <w:u w:val="single"/>
                  <w:lang w:eastAsia="de-DE"/>
                  <w14:ligatures w14:val="none"/>
                </w:rPr>
                <w:t xml:space="preserve">1 </w:t>
              </w:r>
            </w:hyperlink>
            <w:hyperlink r:id="rId48" w:history="1">
              <w:r w:rsidR="00990A0B" w:rsidRPr="00990A0B">
                <w:rPr>
                  <w:rFonts w:ascii="Times New Roman" w:eastAsia="Times New Roman" w:hAnsi="Times New Roman" w:cs="Times New Roman"/>
                  <w:color w:val="0000FF"/>
                  <w:kern w:val="0"/>
                  <w:u w:val="single"/>
                  <w:lang w:eastAsia="de-DE"/>
                  <w14:ligatures w14:val="none"/>
                </w:rPr>
                <w:t xml:space="preserve">2 boerse.de </w:t>
              </w:r>
            </w:hyperlink>
            <w:hyperlink r:id="rId49" w:history="1">
              <w:r w:rsidR="00990A0B" w:rsidRPr="00990A0B">
                <w:rPr>
                  <w:rFonts w:ascii="Times New Roman" w:eastAsia="Times New Roman" w:hAnsi="Times New Roman" w:cs="Times New Roman"/>
                  <w:color w:val="0000FF"/>
                  <w:kern w:val="0"/>
                  <w:u w:val="single"/>
                  <w:lang w:eastAsia="de-DE"/>
                  <w14:ligatures w14:val="none"/>
                </w:rPr>
                <w:t xml:space="preserve">3 uk.investing.com </w:t>
              </w:r>
            </w:hyperlink>
            <w:hyperlink r:id="rId50" w:history="1">
              <w:r w:rsidR="00990A0B" w:rsidRPr="00990A0B">
                <w:rPr>
                  <w:rFonts w:ascii="Times New Roman" w:eastAsia="Times New Roman" w:hAnsi="Times New Roman" w:cs="Times New Roman"/>
                  <w:color w:val="0000FF"/>
                  <w:kern w:val="0"/>
                  <w:u w:val="single"/>
                  <w:lang w:eastAsia="de-DE"/>
                  <w14:ligatures w14:val="none"/>
                </w:rPr>
                <w:t>4 wsj.com</w:t>
              </w:r>
            </w:hyperlink>
          </w:p>
          <w:p w:rsidR="00990A0B" w:rsidRPr="00990A0B" w:rsidRDefault="0037163E"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hyperlink r:id="rId51" w:tgtFrame="_blank" w:history="1">
              <w:r w:rsidR="00990A0B" w:rsidRPr="00990A0B">
                <w:rPr>
                  <w:rFonts w:ascii="Times New Roman" w:eastAsia="Times New Roman" w:hAnsi="Times New Roman" w:cs="Times New Roman"/>
                  <w:b/>
                  <w:bCs/>
                  <w:color w:val="0000FF"/>
                  <w:kern w:val="0"/>
                  <w:u w:val="single"/>
                  <w:lang w:eastAsia="de-DE"/>
                  <w14:ligatures w14:val="none"/>
                </w:rPr>
                <w:t>boerse-frankfurt.de: euro-stoxx-50-performance/</w:t>
              </w:r>
              <w:proofErr w:type="spellStart"/>
              <w:r w:rsidR="00990A0B" w:rsidRPr="00990A0B">
                <w:rPr>
                  <w:rFonts w:ascii="Times New Roman" w:eastAsia="Times New Roman" w:hAnsi="Times New Roman" w:cs="Times New Roman"/>
                  <w:b/>
                  <w:bCs/>
                  <w:color w:val="0000FF"/>
                  <w:kern w:val="0"/>
                  <w:u w:val="single"/>
                  <w:lang w:eastAsia="de-DE"/>
                  <w14:ligatures w14:val="none"/>
                </w:rPr>
                <w:t>charts</w:t>
              </w:r>
              <w:proofErr w:type="spellEnd"/>
            </w:hyperlink>
            <w:r w:rsidR="00990A0B" w:rsidRPr="00990A0B">
              <w:rPr>
                <w:rFonts w:ascii="Times New Roman" w:eastAsia="Times New Roman" w:hAnsi="Times New Roman" w:cs="Times New Roman"/>
                <w:kern w:val="0"/>
                <w:lang w:eastAsia="de-DE"/>
                <w14:ligatures w14:val="none"/>
              </w:rPr>
              <w:t xml:space="preserve"> </w:t>
            </w: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xml:space="preserve">Rendite </w:t>
            </w:r>
            <w:r w:rsidRPr="00990A0B">
              <w:rPr>
                <w:rFonts w:ascii="Times New Roman" w:eastAsia="Times New Roman" w:hAnsi="Times New Roman" w:cs="Times New Roman"/>
                <w:kern w:val="0"/>
                <w:lang w:eastAsia="de-DE"/>
                <w14:ligatures w14:val="none"/>
              </w:rPr>
              <w:br/>
              <w:t xml:space="preserve">Euro </w:t>
            </w:r>
            <w:proofErr w:type="spellStart"/>
            <w:r w:rsidRPr="00990A0B">
              <w:rPr>
                <w:rFonts w:ascii="Times New Roman" w:eastAsia="Times New Roman" w:hAnsi="Times New Roman" w:cs="Times New Roman"/>
                <w:kern w:val="0"/>
                <w:lang w:eastAsia="de-DE"/>
                <w14:ligatures w14:val="none"/>
              </w:rPr>
              <w:t>Stoxx</w:t>
            </w:r>
            <w:proofErr w:type="spellEnd"/>
            <w:r w:rsidRPr="00990A0B">
              <w:rPr>
                <w:rFonts w:ascii="Times New Roman" w:eastAsia="Times New Roman" w:hAnsi="Times New Roman" w:cs="Times New Roman"/>
                <w:kern w:val="0"/>
                <w:lang w:eastAsia="de-DE"/>
                <w14:ligatures w14:val="none"/>
              </w:rPr>
              <w:t xml:space="preserve"> 50 DEKA Dynamik Chance/ </w:t>
            </w:r>
          </w:p>
        </w:tc>
      </w:tr>
      <w:tr w:rsidR="00990A0B" w:rsidRPr="00990A0B" w:rsidTr="00990A0B">
        <w:trPr>
          <w:tblCellSpacing w:w="0" w:type="dxa"/>
        </w:trPr>
        <w:tc>
          <w:tcPr>
            <w:tcW w:w="363" w:type="pct"/>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p>
        </w:tc>
        <w:tc>
          <w:tcPr>
            <w:tcW w:w="3808" w:type="pct"/>
          </w:tcPr>
          <w:p w:rsidR="00990A0B" w:rsidRPr="00990A0B" w:rsidRDefault="00990A0B" w:rsidP="00990A0B">
            <w:pPr>
              <w:spacing w:beforeAutospacing="1" w:after="100" w:afterAutospacing="1" w:line="240" w:lineRule="auto"/>
              <w:rPr>
                <w:rFonts w:ascii="Times New Roman" w:eastAsia="Times New Roman" w:hAnsi="Times New Roman" w:cs="Times New Roman"/>
                <w:kern w:val="0"/>
                <w:lang w:eastAsia="de-DE"/>
                <w14:ligatures w14:val="none"/>
              </w:rPr>
            </w:pPr>
          </w:p>
        </w:tc>
        <w:tc>
          <w:tcPr>
            <w:tcW w:w="829" w:type="pct"/>
            <w:hideMark/>
          </w:tcPr>
          <w:p w:rsidR="00990A0B" w:rsidRPr="00990A0B" w:rsidRDefault="00990A0B" w:rsidP="00990A0B">
            <w:pPr>
              <w:spacing w:after="0" w:line="240" w:lineRule="auto"/>
              <w:jc w:val="right"/>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 </w:t>
            </w:r>
          </w:p>
        </w:tc>
      </w:tr>
      <w:tr w:rsidR="00990A0B" w:rsidRPr="00990A0B" w:rsidTr="00990A0B">
        <w:trPr>
          <w:tblCellSpacing w:w="0" w:type="dxa"/>
        </w:trPr>
        <w:tc>
          <w:tcPr>
            <w:tcW w:w="363" w:type="pct"/>
            <w:hideMark/>
          </w:tcPr>
          <w:p w:rsidR="00990A0B" w:rsidRPr="00990A0B" w:rsidRDefault="00990A0B" w:rsidP="00990A0B">
            <w:pPr>
              <w:spacing w:after="0" w:line="240" w:lineRule="auto"/>
              <w:rPr>
                <w:rFonts w:ascii="Times New Roman" w:eastAsia="Times New Roman" w:hAnsi="Times New Roman" w:cs="Times New Roman"/>
                <w:kern w:val="0"/>
                <w:lang w:eastAsia="de-DE"/>
                <w14:ligatures w14:val="none"/>
              </w:rPr>
            </w:pPr>
            <w:bookmarkStart w:id="8" w:name="lit"/>
            <w:bookmarkEnd w:id="8"/>
            <w:r>
              <w:rPr>
                <w:rFonts w:ascii="Times New Roman" w:eastAsia="Times New Roman" w:hAnsi="Times New Roman" w:cs="Times New Roman"/>
                <w:noProof/>
                <w:kern w:val="0"/>
                <w:lang w:eastAsia="de-DE"/>
              </w:rPr>
              <w:drawing>
                <wp:inline distT="0" distB="0" distL="0" distR="0" wp14:anchorId="5A6A7E3F" wp14:editId="427A0F9A">
                  <wp:extent cx="114300" cy="114300"/>
                  <wp:effectExtent l="0" t="0" r="0" b="0"/>
                  <wp:docPr id="9" name="Grafik 9" descr="C:\Users\KGH\Downloads\PROJEKTE - Ökonomie_files\arrow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GH\Downloads\PROJEKTE - Ökonomie_files\arrowu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08" w:type="pct"/>
            <w:hideMark/>
          </w:tcPr>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sidRPr="00990A0B">
              <w:rPr>
                <w:rFonts w:ascii="Times New Roman" w:eastAsia="Times New Roman" w:hAnsi="Times New Roman" w:cs="Times New Roman"/>
                <w:kern w:val="0"/>
                <w:lang w:eastAsia="de-DE"/>
                <w14:ligatures w14:val="none"/>
              </w:rPr>
              <w:t>Literatur</w:t>
            </w:r>
          </w:p>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bookmarkStart w:id="9" w:name="lit1"/>
            <w:r>
              <w:rPr>
                <w:rFonts w:ascii="Times New Roman" w:eastAsia="Times New Roman" w:hAnsi="Times New Roman" w:cs="Times New Roman"/>
                <w:noProof/>
                <w:color w:val="0000FF"/>
                <w:kern w:val="0"/>
                <w:lang w:eastAsia="de-DE"/>
              </w:rPr>
              <w:drawing>
                <wp:inline distT="0" distB="0" distL="0" distR="0" wp14:anchorId="3C5D3A0C" wp14:editId="5F88C3D0">
                  <wp:extent cx="123825" cy="123825"/>
                  <wp:effectExtent l="0" t="0" r="9525" b="9525"/>
                  <wp:docPr id="8" name="Grafik 8" descr="C:\Users\KGH\Downloads\PROJEKTE - Ökonomie_files\lit1.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GH\Downloads\PROJEKTE - Ökonomie_files\lit1.gif">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Nadine </w:t>
            </w:r>
            <w:proofErr w:type="spellStart"/>
            <w:r w:rsidRPr="00990A0B">
              <w:rPr>
                <w:rFonts w:ascii="Times New Roman" w:eastAsia="Times New Roman" w:hAnsi="Times New Roman" w:cs="Times New Roman"/>
                <w:kern w:val="0"/>
                <w:lang w:eastAsia="de-DE"/>
                <w14:ligatures w14:val="none"/>
              </w:rPr>
              <w:t>Oberhuber</w:t>
            </w:r>
            <w:proofErr w:type="spellEnd"/>
            <w:r w:rsidRPr="00990A0B">
              <w:rPr>
                <w:rFonts w:ascii="Times New Roman" w:eastAsia="Times New Roman" w:hAnsi="Times New Roman" w:cs="Times New Roman"/>
                <w:kern w:val="0"/>
                <w:lang w:eastAsia="de-DE"/>
                <w14:ligatures w14:val="none"/>
              </w:rPr>
              <w:t xml:space="preserve">: </w:t>
            </w:r>
            <w:hyperlink r:id="rId54" w:history="1">
              <w:r w:rsidRPr="00990A0B">
                <w:rPr>
                  <w:rFonts w:ascii="Times New Roman" w:eastAsia="Times New Roman" w:hAnsi="Times New Roman" w:cs="Times New Roman"/>
                  <w:color w:val="0000FF"/>
                  <w:kern w:val="0"/>
                  <w:u w:val="single"/>
                  <w:lang w:eastAsia="de-DE"/>
                  <w14:ligatures w14:val="none"/>
                </w:rPr>
                <w:t>Geldanlage Empfehlungen für verschiedene Leben</w:t>
              </w:r>
              <w:r>
                <w:rPr>
                  <w:rFonts w:ascii="Times New Roman" w:eastAsia="Times New Roman" w:hAnsi="Times New Roman" w:cs="Times New Roman"/>
                  <w:color w:val="0000FF"/>
                  <w:kern w:val="0"/>
                  <w:u w:val="single"/>
                  <w:lang w:eastAsia="de-DE"/>
                  <w14:ligatures w14:val="none"/>
                </w:rPr>
                <w:t>s</w:t>
              </w:r>
              <w:r w:rsidRPr="00990A0B">
                <w:rPr>
                  <w:rFonts w:ascii="Times New Roman" w:eastAsia="Times New Roman" w:hAnsi="Times New Roman" w:cs="Times New Roman"/>
                  <w:color w:val="0000FF"/>
                  <w:kern w:val="0"/>
                  <w:u w:val="single"/>
                  <w:lang w:eastAsia="de-DE"/>
                  <w14:ligatures w14:val="none"/>
                </w:rPr>
                <w:t>lagen</w:t>
              </w:r>
            </w:hyperlink>
            <w:r w:rsidRPr="00990A0B">
              <w:rPr>
                <w:rFonts w:ascii="Times New Roman" w:eastAsia="Times New Roman" w:hAnsi="Times New Roman" w:cs="Times New Roman"/>
                <w:kern w:val="0"/>
                <w:lang w:eastAsia="de-DE"/>
                <w14:ligatures w14:val="none"/>
              </w:rPr>
              <w:t xml:space="preserve"> in STERN 08.05.2024 </w:t>
            </w:r>
            <w:r>
              <w:rPr>
                <w:rFonts w:ascii="Times New Roman" w:eastAsia="Times New Roman" w:hAnsi="Times New Roman" w:cs="Times New Roman"/>
                <w:noProof/>
                <w:kern w:val="0"/>
                <w:lang w:eastAsia="de-DE"/>
              </w:rPr>
              <w:drawing>
                <wp:inline distT="0" distB="0" distL="0" distR="0" wp14:anchorId="1CCCDA28" wp14:editId="79D9F0F7">
                  <wp:extent cx="114300" cy="114300"/>
                  <wp:effectExtent l="0" t="0" r="0" b="0"/>
                  <wp:docPr id="7" name="Grafik 7" descr="C:\Users\KGH\Downloads\PROJEKTE - Ökonomie_files\f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GH\Downloads\PROJEKTE - Ökonomie_files\f_pdf.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bookmarkEnd w:id="9"/>
          <w:p w:rsidR="00990A0B" w:rsidRPr="00990A0B" w:rsidRDefault="00990A0B" w:rsidP="00990A0B">
            <w:pPr>
              <w:spacing w:before="100" w:beforeAutospacing="1" w:after="100" w:afterAutospacing="1" w:line="240" w:lineRule="auto"/>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color w:val="0000FF"/>
                <w:kern w:val="0"/>
                <w:lang w:eastAsia="de-DE"/>
              </w:rPr>
              <w:drawing>
                <wp:inline distT="0" distB="0" distL="0" distR="0" wp14:anchorId="38FE3C07" wp14:editId="0C519B9B">
                  <wp:extent cx="123825" cy="123825"/>
                  <wp:effectExtent l="0" t="0" r="9525" b="9525"/>
                  <wp:docPr id="6" name="Grafik 6" descr="C:\Users\KGH\Downloads\PROJEKTE - Ökonomie_files\lit2.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GH\Downloads\PROJEKTE - Ökonomie_files\lit2.gif">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spellStart"/>
            <w:r w:rsidRPr="00990A0B">
              <w:rPr>
                <w:rFonts w:ascii="Times New Roman" w:eastAsia="Times New Roman" w:hAnsi="Times New Roman" w:cs="Times New Roman"/>
                <w:kern w:val="0"/>
                <w:lang w:eastAsia="de-DE"/>
                <w14:ligatures w14:val="none"/>
              </w:rPr>
              <w:t>Studyflix</w:t>
            </w:r>
            <w:proofErr w:type="spellEnd"/>
            <w:r w:rsidRPr="00990A0B">
              <w:rPr>
                <w:rFonts w:ascii="Times New Roman" w:eastAsia="Times New Roman" w:hAnsi="Times New Roman" w:cs="Times New Roman"/>
                <w:kern w:val="0"/>
                <w:lang w:eastAsia="de-DE"/>
                <w14:ligatures w14:val="none"/>
              </w:rPr>
              <w:t xml:space="preserve">: </w:t>
            </w:r>
            <w:hyperlink r:id="rId58" w:tgtFrame="_blank" w:history="1">
              <w:r w:rsidRPr="00990A0B">
                <w:rPr>
                  <w:rFonts w:ascii="Times New Roman" w:eastAsia="Times New Roman" w:hAnsi="Times New Roman" w:cs="Times New Roman"/>
                  <w:color w:val="0000FF"/>
                  <w:kern w:val="0"/>
                  <w:u w:val="single"/>
                  <w:lang w:eastAsia="de-DE"/>
                  <w14:ligatures w14:val="none"/>
                </w:rPr>
                <w:t>deskriptive Statistik</w:t>
              </w:r>
            </w:hyperlink>
            <w:r>
              <w:rPr>
                <w:rFonts w:ascii="Times New Roman" w:eastAsia="Times New Roman" w:hAnsi="Times New Roman" w:cs="Times New Roman"/>
                <w:noProof/>
                <w:kern w:val="0"/>
                <w:lang w:eastAsia="de-DE"/>
              </w:rPr>
              <w:drawing>
                <wp:inline distT="0" distB="0" distL="0" distR="0" wp14:anchorId="31CB5297" wp14:editId="602C370E">
                  <wp:extent cx="114300" cy="114300"/>
                  <wp:effectExtent l="0" t="0" r="0" b="0"/>
                  <wp:docPr id="5" name="Grafik 5"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 </w:t>
            </w:r>
            <w:hyperlink r:id="rId59" w:tgtFrame="_blank" w:history="1">
              <w:r w:rsidRPr="00990A0B">
                <w:rPr>
                  <w:rFonts w:ascii="Times New Roman" w:eastAsia="Times New Roman" w:hAnsi="Times New Roman" w:cs="Times New Roman"/>
                  <w:color w:val="0000FF"/>
                  <w:kern w:val="0"/>
                  <w:u w:val="single"/>
                  <w:lang w:eastAsia="de-DE"/>
                  <w14:ligatures w14:val="none"/>
                </w:rPr>
                <w:t>Arithmetisches Mittel</w:t>
              </w:r>
            </w:hyperlink>
            <w:r>
              <w:rPr>
                <w:rFonts w:ascii="Times New Roman" w:eastAsia="Times New Roman" w:hAnsi="Times New Roman" w:cs="Times New Roman"/>
                <w:noProof/>
                <w:kern w:val="0"/>
                <w:lang w:eastAsia="de-DE"/>
              </w:rPr>
              <w:drawing>
                <wp:inline distT="0" distB="0" distL="0" distR="0" wp14:anchorId="1B4909E0" wp14:editId="5C0C9E88">
                  <wp:extent cx="114300" cy="114300"/>
                  <wp:effectExtent l="0" t="0" r="0" b="0"/>
                  <wp:docPr id="4" name="Grafik 4"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 </w:t>
            </w:r>
            <w:hyperlink r:id="rId60" w:tgtFrame="_blank" w:history="1">
              <w:r w:rsidRPr="00990A0B">
                <w:rPr>
                  <w:rFonts w:ascii="Times New Roman" w:eastAsia="Times New Roman" w:hAnsi="Times New Roman" w:cs="Times New Roman"/>
                  <w:color w:val="0000FF"/>
                  <w:kern w:val="0"/>
                  <w:u w:val="single"/>
                  <w:lang w:eastAsia="de-DE"/>
                  <w14:ligatures w14:val="none"/>
                </w:rPr>
                <w:t>Geometrisches Mittel</w:t>
              </w:r>
            </w:hyperlink>
            <w:r>
              <w:rPr>
                <w:rFonts w:ascii="Times New Roman" w:eastAsia="Times New Roman" w:hAnsi="Times New Roman" w:cs="Times New Roman"/>
                <w:noProof/>
                <w:kern w:val="0"/>
                <w:lang w:eastAsia="de-DE"/>
              </w:rPr>
              <w:drawing>
                <wp:inline distT="0" distB="0" distL="0" distR="0" wp14:anchorId="6B2A9E2C" wp14:editId="5D02E4DC">
                  <wp:extent cx="114300" cy="114300"/>
                  <wp:effectExtent l="0" t="0" r="0" b="0"/>
                  <wp:docPr id="3" name="Grafik 3"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 </w:t>
            </w:r>
            <w:hyperlink r:id="rId61" w:tgtFrame="_blank" w:history="1">
              <w:r w:rsidRPr="00990A0B">
                <w:rPr>
                  <w:rFonts w:ascii="Times New Roman" w:eastAsia="Times New Roman" w:hAnsi="Times New Roman" w:cs="Times New Roman"/>
                  <w:color w:val="0000FF"/>
                  <w:kern w:val="0"/>
                  <w:u w:val="single"/>
                  <w:lang w:eastAsia="de-DE"/>
                  <w14:ligatures w14:val="none"/>
                </w:rPr>
                <w:t>Harmonisches Mittel</w:t>
              </w:r>
            </w:hyperlink>
            <w:r>
              <w:rPr>
                <w:rFonts w:ascii="Times New Roman" w:eastAsia="Times New Roman" w:hAnsi="Times New Roman" w:cs="Times New Roman"/>
                <w:noProof/>
                <w:kern w:val="0"/>
                <w:lang w:eastAsia="de-DE"/>
              </w:rPr>
              <w:drawing>
                <wp:inline distT="0" distB="0" distL="0" distR="0" wp14:anchorId="5312B4E5" wp14:editId="0FB2A164">
                  <wp:extent cx="114300" cy="114300"/>
                  <wp:effectExtent l="0" t="0" r="0" b="0"/>
                  <wp:docPr id="2" name="Grafik 2"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90A0B">
              <w:rPr>
                <w:rFonts w:ascii="Times New Roman" w:eastAsia="Times New Roman" w:hAnsi="Times New Roman" w:cs="Times New Roman"/>
                <w:kern w:val="0"/>
                <w:lang w:eastAsia="de-DE"/>
                <w14:ligatures w14:val="none"/>
              </w:rPr>
              <w:t xml:space="preserve">, </w:t>
            </w:r>
            <w:hyperlink r:id="rId62" w:tgtFrame="_blank" w:history="1">
              <w:r w:rsidRPr="00990A0B">
                <w:rPr>
                  <w:rFonts w:ascii="Times New Roman" w:eastAsia="Times New Roman" w:hAnsi="Times New Roman" w:cs="Times New Roman"/>
                  <w:color w:val="0000FF"/>
                  <w:kern w:val="0"/>
                  <w:u w:val="single"/>
                  <w:lang w:eastAsia="de-DE"/>
                  <w14:ligatures w14:val="none"/>
                </w:rPr>
                <w:t>Gleitender Durchschnitt</w:t>
              </w:r>
              <w:r>
                <w:rPr>
                  <w:rFonts w:ascii="Times New Roman" w:eastAsia="Times New Roman" w:hAnsi="Times New Roman" w:cs="Times New Roman"/>
                  <w:noProof/>
                  <w:color w:val="0000FF"/>
                  <w:kern w:val="0"/>
                  <w:lang w:eastAsia="de-DE"/>
                </w:rPr>
                <w:drawing>
                  <wp:inline distT="0" distB="0" distL="0" distR="0" wp14:anchorId="52E637E4" wp14:editId="64FB195E">
                    <wp:extent cx="114300" cy="114300"/>
                    <wp:effectExtent l="0" t="0" r="0" b="0"/>
                    <wp:docPr id="1" name="Grafik 1" descr="C:\Users\KGH\Downloads\PROJEKTE - Ökonomie_files\f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GH\Downloads\PROJEKTE - Ökonomie_files\f_li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990A0B">
              <w:rPr>
                <w:rFonts w:ascii="Times New Roman" w:eastAsia="Times New Roman" w:hAnsi="Times New Roman" w:cs="Times New Roman"/>
                <w:kern w:val="0"/>
                <w:lang w:eastAsia="de-DE"/>
                <w14:ligatures w14:val="none"/>
              </w:rPr>
              <w:t xml:space="preserve"> </w:t>
            </w:r>
          </w:p>
        </w:tc>
        <w:tc>
          <w:tcPr>
            <w:tcW w:w="829" w:type="pct"/>
            <w:hideMark/>
          </w:tcPr>
          <w:p w:rsidR="00990A0B" w:rsidRPr="00990A0B" w:rsidRDefault="00990A0B" w:rsidP="00990A0B">
            <w:pPr>
              <w:spacing w:after="0" w:line="240" w:lineRule="auto"/>
              <w:rPr>
                <w:rFonts w:ascii="Times New Roman" w:eastAsia="Times New Roman" w:hAnsi="Times New Roman" w:cs="Times New Roman"/>
                <w:kern w:val="0"/>
                <w:sz w:val="20"/>
                <w:szCs w:val="20"/>
                <w:lang w:eastAsia="de-DE"/>
                <w14:ligatures w14:val="none"/>
              </w:rPr>
            </w:pPr>
          </w:p>
        </w:tc>
      </w:tr>
    </w:tbl>
    <w:p w:rsidR="00990A0B" w:rsidRDefault="00990A0B" w:rsidP="00990A0B"/>
    <w:sectPr w:rsidR="00990A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567"/>
    <w:multiLevelType w:val="multilevel"/>
    <w:tmpl w:val="361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72E26"/>
    <w:multiLevelType w:val="multilevel"/>
    <w:tmpl w:val="3DB8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6B65B1"/>
    <w:multiLevelType w:val="multilevel"/>
    <w:tmpl w:val="FEF8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06C65"/>
    <w:multiLevelType w:val="multilevel"/>
    <w:tmpl w:val="51964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0B"/>
    <w:rsid w:val="00020BBC"/>
    <w:rsid w:val="00122FEA"/>
    <w:rsid w:val="001309C0"/>
    <w:rsid w:val="0020712E"/>
    <w:rsid w:val="00243CF4"/>
    <w:rsid w:val="00312A7A"/>
    <w:rsid w:val="00317D8C"/>
    <w:rsid w:val="0037163E"/>
    <w:rsid w:val="003B1C0E"/>
    <w:rsid w:val="003E0BAB"/>
    <w:rsid w:val="0042482A"/>
    <w:rsid w:val="004B69C9"/>
    <w:rsid w:val="005A0691"/>
    <w:rsid w:val="005E7473"/>
    <w:rsid w:val="00724DE6"/>
    <w:rsid w:val="00787141"/>
    <w:rsid w:val="008602D0"/>
    <w:rsid w:val="009060D8"/>
    <w:rsid w:val="00990A0B"/>
    <w:rsid w:val="009E2466"/>
    <w:rsid w:val="00A0068E"/>
    <w:rsid w:val="00AE5FF4"/>
    <w:rsid w:val="00B90358"/>
    <w:rsid w:val="00BE41DA"/>
    <w:rsid w:val="00BE7D90"/>
    <w:rsid w:val="00C6714D"/>
    <w:rsid w:val="00CA3D3A"/>
    <w:rsid w:val="00E059C3"/>
    <w:rsid w:val="00EA4E8A"/>
    <w:rsid w:val="00F03EDD"/>
    <w:rsid w:val="00F73D3C"/>
    <w:rsid w:val="00FF0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1">
    <w:name w:val="h1"/>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h3">
    <w:name w:val="h3"/>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990A0B"/>
    <w:rPr>
      <w:color w:val="0000FF"/>
      <w:u w:val="single"/>
    </w:rPr>
  </w:style>
  <w:style w:type="paragraph" w:customStyle="1" w:styleId="h2">
    <w:name w:val="h2"/>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990A0B"/>
    <w:rPr>
      <w:b/>
      <w:bCs/>
    </w:rPr>
  </w:style>
  <w:style w:type="paragraph" w:styleId="StandardWeb">
    <w:name w:val="Normal (Web)"/>
    <w:basedOn w:val="Standard"/>
    <w:uiPriority w:val="99"/>
    <w:unhideWhenUse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h31">
    <w:name w:val="h31"/>
    <w:basedOn w:val="Absatz-Standardschriftart"/>
    <w:rsid w:val="00990A0B"/>
  </w:style>
  <w:style w:type="paragraph" w:customStyle="1" w:styleId="text">
    <w:name w:val="text"/>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texthervor">
    <w:name w:val="text_hervor"/>
    <w:basedOn w:val="Absatz-Standardschriftart"/>
    <w:rsid w:val="00990A0B"/>
  </w:style>
  <w:style w:type="character" w:customStyle="1" w:styleId="stil3">
    <w:name w:val="stil3"/>
    <w:basedOn w:val="Absatz-Standardschriftart"/>
    <w:rsid w:val="00990A0B"/>
  </w:style>
  <w:style w:type="paragraph" w:customStyle="1" w:styleId="texthervor1">
    <w:name w:val="text_hervor1"/>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990A0B"/>
    <w:rPr>
      <w:i/>
      <w:iCs/>
    </w:rPr>
  </w:style>
  <w:style w:type="character" w:customStyle="1" w:styleId="autor">
    <w:name w:val="autor"/>
    <w:basedOn w:val="Absatz-Standardschriftart"/>
    <w:rsid w:val="00990A0B"/>
  </w:style>
  <w:style w:type="paragraph" w:styleId="Sprechblasentext">
    <w:name w:val="Balloon Text"/>
    <w:basedOn w:val="Standard"/>
    <w:link w:val="SprechblasentextZchn"/>
    <w:uiPriority w:val="99"/>
    <w:semiHidden/>
    <w:unhideWhenUsed/>
    <w:rsid w:val="00990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1">
    <w:name w:val="h1"/>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h3">
    <w:name w:val="h3"/>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990A0B"/>
    <w:rPr>
      <w:color w:val="0000FF"/>
      <w:u w:val="single"/>
    </w:rPr>
  </w:style>
  <w:style w:type="paragraph" w:customStyle="1" w:styleId="h2">
    <w:name w:val="h2"/>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990A0B"/>
    <w:rPr>
      <w:b/>
      <w:bCs/>
    </w:rPr>
  </w:style>
  <w:style w:type="paragraph" w:styleId="StandardWeb">
    <w:name w:val="Normal (Web)"/>
    <w:basedOn w:val="Standard"/>
    <w:uiPriority w:val="99"/>
    <w:unhideWhenUse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h31">
    <w:name w:val="h31"/>
    <w:basedOn w:val="Absatz-Standardschriftart"/>
    <w:rsid w:val="00990A0B"/>
  </w:style>
  <w:style w:type="paragraph" w:customStyle="1" w:styleId="text">
    <w:name w:val="text"/>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texthervor">
    <w:name w:val="text_hervor"/>
    <w:basedOn w:val="Absatz-Standardschriftart"/>
    <w:rsid w:val="00990A0B"/>
  </w:style>
  <w:style w:type="character" w:customStyle="1" w:styleId="stil3">
    <w:name w:val="stil3"/>
    <w:basedOn w:val="Absatz-Standardschriftart"/>
    <w:rsid w:val="00990A0B"/>
  </w:style>
  <w:style w:type="paragraph" w:customStyle="1" w:styleId="texthervor1">
    <w:name w:val="text_hervor1"/>
    <w:basedOn w:val="Standard"/>
    <w:rsid w:val="00990A0B"/>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990A0B"/>
    <w:rPr>
      <w:i/>
      <w:iCs/>
    </w:rPr>
  </w:style>
  <w:style w:type="character" w:customStyle="1" w:styleId="autor">
    <w:name w:val="autor"/>
    <w:basedOn w:val="Absatz-Standardschriftart"/>
    <w:rsid w:val="00990A0B"/>
  </w:style>
  <w:style w:type="paragraph" w:styleId="Sprechblasentext">
    <w:name w:val="Balloon Text"/>
    <w:basedOn w:val="Standard"/>
    <w:link w:val="SprechblasentextZchn"/>
    <w:uiPriority w:val="99"/>
    <w:semiHidden/>
    <w:unhideWhenUsed/>
    <w:rsid w:val="00990A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646">
      <w:bodyDiv w:val="1"/>
      <w:marLeft w:val="0"/>
      <w:marRight w:val="0"/>
      <w:marTop w:val="0"/>
      <w:marBottom w:val="0"/>
      <w:divBdr>
        <w:top w:val="none" w:sz="0" w:space="0" w:color="auto"/>
        <w:left w:val="none" w:sz="0" w:space="0" w:color="auto"/>
        <w:bottom w:val="none" w:sz="0" w:space="0" w:color="auto"/>
        <w:right w:val="none" w:sz="0" w:space="0" w:color="auto"/>
      </w:divBdr>
      <w:divsChild>
        <w:div w:id="52980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10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53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01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5515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9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48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23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1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ztip.de/indexfonds-etf/" TargetMode="External"/><Relationship Id="rId18" Type="http://schemas.openxmlformats.org/officeDocument/2006/relationships/hyperlink" Target="https://www.smart-rechner.de/etf_steuer/rechner.php" TargetMode="External"/><Relationship Id="rId26" Type="http://schemas.openxmlformats.org/officeDocument/2006/relationships/hyperlink" Target="https://www.boerse.de/historische-kurse/Euro-Dollar/EU0009652759" TargetMode="External"/><Relationship Id="rId39" Type="http://schemas.openxmlformats.org/officeDocument/2006/relationships/hyperlink" Target="https://www.destatis.de/DE/Presse/Pressemitteilungen/2023/01/PD23_022_611.html" TargetMode="External"/><Relationship Id="rId21" Type="http://schemas.openxmlformats.org/officeDocument/2006/relationships/hyperlink" Target="https://www.boerse.de/historische-kurse/Euro-Dollar/EU0009652759" TargetMode="External"/><Relationship Id="rId34" Type="http://schemas.openxmlformats.org/officeDocument/2006/relationships/hyperlink" Target="https://www.boerse.de/historische-kurse/Dow-Jones/US2605661048" TargetMode="External"/><Relationship Id="rId42" Type="http://schemas.openxmlformats.org/officeDocument/2006/relationships/hyperlink" Target="https://www.finanz-tools.de/inflation/inflationsraten-deutschland" TargetMode="External"/><Relationship Id="rId47" Type="http://schemas.openxmlformats.org/officeDocument/2006/relationships/hyperlink" Target="https://www.boerse.de/langfristchart/Euro-Stoxx-50/EU0009658145" TargetMode="External"/><Relationship Id="rId50" Type="http://schemas.openxmlformats.org/officeDocument/2006/relationships/hyperlink" Target="https://www.wsj.com/market-data/quotes/index/XX/SX5E/historical-prices" TargetMode="External"/><Relationship Id="rId55" Type="http://schemas.openxmlformats.org/officeDocument/2006/relationships/image" Target="media/image4.gif"/><Relationship Id="rId63" Type="http://schemas.openxmlformats.org/officeDocument/2006/relationships/fontTable" Target="fontTable.xml"/><Relationship Id="rId7" Type="http://schemas.openxmlformats.org/officeDocument/2006/relationships/hyperlink" Target="http://www.halbmikrotechnik.de/PROJEKT1/ERGEBNIS/oekonom/c_geldanlage_erfahrung.html#inhalt" TargetMode="External"/><Relationship Id="rId2" Type="http://schemas.openxmlformats.org/officeDocument/2006/relationships/styles" Target="styles.xml"/><Relationship Id="rId16" Type="http://schemas.openxmlformats.org/officeDocument/2006/relationships/hyperlink" Target="https://www.smart-rechner.de/etf_steuer/rechner.php" TargetMode="External"/><Relationship Id="rId20" Type="http://schemas.openxmlformats.org/officeDocument/2006/relationships/hyperlink" Target="https://www.finanzfluss.de/rechner/abgeltungssteuer/" TargetMode="External"/><Relationship Id="rId29" Type="http://schemas.openxmlformats.org/officeDocument/2006/relationships/hyperlink" Target="https://www.finanzen.ch/index/dow_jones" TargetMode="External"/><Relationship Id="rId41" Type="http://schemas.openxmlformats.org/officeDocument/2006/relationships/hyperlink" Target="https://www.finanz-tools.de/inflation/inflationsraten-deutschland" TargetMode="External"/><Relationship Id="rId54" Type="http://schemas.openxmlformats.org/officeDocument/2006/relationships/hyperlink" Target="http://www.halbmikrotechnik.de/PROJEKT1/ERGEBNIS/oekonom/240508_STERN_S.26-34.pdf" TargetMode="External"/><Relationship Id="rId62" Type="http://schemas.openxmlformats.org/officeDocument/2006/relationships/hyperlink" Target="https://studyflix.de/statistik/gleitender-durchschnitt-4971" TargetMode="External"/><Relationship Id="rId1" Type="http://schemas.openxmlformats.org/officeDocument/2006/relationships/numbering" Target="numbering.xml"/><Relationship Id="rId6" Type="http://schemas.openxmlformats.org/officeDocument/2006/relationships/hyperlink" Target="http://www.halbmikrotechnik.de/PROJEKT1/ERGEBNIS/oekonom/c_geldanlage_erfahrung.html" TargetMode="External"/><Relationship Id="rId11" Type="http://schemas.openxmlformats.org/officeDocument/2006/relationships/image" Target="media/image2.gif"/><Relationship Id="rId24" Type="http://schemas.openxmlformats.org/officeDocument/2006/relationships/hyperlink" Target="https://www.boerse.de/historische-kurse/Euro-Dollar/EU0009652759" TargetMode="External"/><Relationship Id="rId32" Type="http://schemas.openxmlformats.org/officeDocument/2006/relationships/hyperlink" Target="https://www.macrotrends.net/1319/dow-jones-100-year-historical-chart" TargetMode="External"/><Relationship Id="rId37" Type="http://schemas.openxmlformats.org/officeDocument/2006/relationships/hyperlink" Target="https://www.statista.com/statistics/1316908/dow-jones-average-and-yearly-closing-prices-historical/" TargetMode="External"/><Relationship Id="rId40" Type="http://schemas.openxmlformats.org/officeDocument/2006/relationships/hyperlink" Target="https://www.destatis.de/DE/Presse/Pressemitteilungen/2023/01/PD23_022_611.html" TargetMode="External"/><Relationship Id="rId45" Type="http://schemas.openxmlformats.org/officeDocument/2006/relationships/hyperlink" Target="https://www.destatis.de/DE/Presse/Pressemitteilungen/2023/01/PD23_022_611.html" TargetMode="External"/><Relationship Id="rId53" Type="http://schemas.openxmlformats.org/officeDocument/2006/relationships/image" Target="media/image3.gif"/><Relationship Id="rId58" Type="http://schemas.openxmlformats.org/officeDocument/2006/relationships/hyperlink" Target="https://studyflix.de/statistik/thema/deskriptive-statistik-9" TargetMode="External"/><Relationship Id="rId5" Type="http://schemas.openxmlformats.org/officeDocument/2006/relationships/webSettings" Target="webSettings.xml"/><Relationship Id="rId15" Type="http://schemas.openxmlformats.org/officeDocument/2006/relationships/hyperlink" Target="https://www.finanz-tools.de/abgeltungssteuer-rechner" TargetMode="External"/><Relationship Id="rId23" Type="http://schemas.openxmlformats.org/officeDocument/2006/relationships/hyperlink" Target="https://www.boerse.de/historische-kurse/Euro-Dollar/EU0009652759" TargetMode="External"/><Relationship Id="rId28" Type="http://schemas.openxmlformats.org/officeDocument/2006/relationships/hyperlink" Target="https://www.wallstreet-online.de/nachricht/18394198-aktien-new-york-schluss-dow-gelingt-groesstes-wochenplus-jahres" TargetMode="External"/><Relationship Id="rId36" Type="http://schemas.openxmlformats.org/officeDocument/2006/relationships/hyperlink" Target="https://www.wsj.com/market-data/quotes/index/DJIA/historical-prices" TargetMode="External"/><Relationship Id="rId49" Type="http://schemas.openxmlformats.org/officeDocument/2006/relationships/hyperlink" Target="https://uk.investing.com/indices/eu-stoxx50-historical-data" TargetMode="External"/><Relationship Id="rId57" Type="http://schemas.openxmlformats.org/officeDocument/2006/relationships/image" Target="media/image5.gif"/><Relationship Id="rId61" Type="http://schemas.openxmlformats.org/officeDocument/2006/relationships/hyperlink" Target="https://studyflix.de/statistik/harmonisches-mittel-1039" TargetMode="External"/><Relationship Id="rId10" Type="http://schemas.openxmlformats.org/officeDocument/2006/relationships/hyperlink" Target="https://www.finanztip.de/indexfonds-etf/" TargetMode="External"/><Relationship Id="rId19" Type="http://schemas.openxmlformats.org/officeDocument/2006/relationships/hyperlink" Target="https://www.hermoney.de/boerse-geldanlage/etf/etf-rendite/" TargetMode="External"/><Relationship Id="rId31" Type="http://schemas.openxmlformats.org/officeDocument/2006/relationships/hyperlink" Target="https://www.finanzen.net/index/dow_jones/seit1928" TargetMode="External"/><Relationship Id="rId44" Type="http://schemas.openxmlformats.org/officeDocument/2006/relationships/hyperlink" Target="https://www.destatis.de/DE/Themen/Wirtschaft/Preise/Verbraucherpreisindex/_inhalt.html" TargetMode="External"/><Relationship Id="rId52" Type="http://schemas.openxmlformats.org/officeDocument/2006/relationships/hyperlink" Target="http://www.halbmikrotechnik.de/PROJEKT1/ERGEBNIS/oekonom/c_geldanlage_erfahrung.html#txt1" TargetMode="External"/><Relationship Id="rId60" Type="http://schemas.openxmlformats.org/officeDocument/2006/relationships/hyperlink" Target="https://studyflix.de/statistik/geometrisches-mittel-1038" TargetMode="External"/><Relationship Id="rId4" Type="http://schemas.openxmlformats.org/officeDocument/2006/relationships/settings" Target="settings.xml"/><Relationship Id="rId9" Type="http://schemas.openxmlformats.org/officeDocument/2006/relationships/hyperlink" Target="http://www.halbmikrotechnik.de/PROJEKT1/ERGEBNIS/oekonom/Redite_Einsatz.xlsx" TargetMode="External"/><Relationship Id="rId14" Type="http://schemas.openxmlformats.org/officeDocument/2006/relationships/hyperlink" Target="https://www.finanz-tools.de/abgeltungssteuer-rechner" TargetMode="External"/><Relationship Id="rId22" Type="http://schemas.openxmlformats.org/officeDocument/2006/relationships/hyperlink" Target="https://www.boerse.de/historische-kurse/Euro-Dollar/EU0009652759" TargetMode="External"/><Relationship Id="rId27" Type="http://schemas.openxmlformats.org/officeDocument/2006/relationships/hyperlink" Target="https://www.wallstreet-online.de/nachricht/18394198-aktien-new-york-schluss-dow-gelingt-groesstes-wochenplus-jahres" TargetMode="External"/><Relationship Id="rId30" Type="http://schemas.openxmlformats.org/officeDocument/2006/relationships/hyperlink" Target="https://de.statista.com/statistik/daten/studie/1936/umfrage/entwicklung-des-dow-jones-index-seit-1896/" TargetMode="External"/><Relationship Id="rId35" Type="http://schemas.openxmlformats.org/officeDocument/2006/relationships/hyperlink" Target="https://www.macrotrends.net/1319/dow-jones-100-year-historical-chart" TargetMode="External"/><Relationship Id="rId43" Type="http://schemas.openxmlformats.org/officeDocument/2006/relationships/hyperlink" Target="https://www.destatis.de/DE/Themen/Wirtschaft/Preise/Verbraucherpreisindex/_inhalt.html" TargetMode="External"/><Relationship Id="rId48" Type="http://schemas.openxmlformats.org/officeDocument/2006/relationships/hyperlink" Target="https://www.boerse.de/charts/Euro-Stoxx-50/EU0009658145" TargetMode="External"/><Relationship Id="rId56" Type="http://schemas.openxmlformats.org/officeDocument/2006/relationships/hyperlink" Target="http://www.halbmikrotechnik.de/PROJEKT1/ERGEBNIS/oekonom/c_geldanlage_erfahrung.html#txt2" TargetMode="External"/><Relationship Id="rId6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boerse-frankfurt.de/index/euro-stoxx-50-performance/charts" TargetMode="External"/><Relationship Id="rId3" Type="http://schemas.microsoft.com/office/2007/relationships/stylesWithEffects" Target="stylesWithEffects.xml"/><Relationship Id="rId12" Type="http://schemas.openxmlformats.org/officeDocument/2006/relationships/hyperlink" Target="https://www.finanztip.de/sparerpauschbetrag/" TargetMode="External"/><Relationship Id="rId17" Type="http://schemas.openxmlformats.org/officeDocument/2006/relationships/hyperlink" Target="https://www.finanz-tools.de/abgeltungssteuer-rechner" TargetMode="External"/><Relationship Id="rId25" Type="http://schemas.openxmlformats.org/officeDocument/2006/relationships/hyperlink" Target="https://www.boerse.de/historische-kurse/Euro-Dollar/EU0009652759" TargetMode="External"/><Relationship Id="rId33" Type="http://schemas.openxmlformats.org/officeDocument/2006/relationships/hyperlink" Target="https://www.finanzen.net/index/dow_jones/hochtief" TargetMode="External"/><Relationship Id="rId38" Type="http://schemas.openxmlformats.org/officeDocument/2006/relationships/hyperlink" Target="https://www.onvista.de/etf/chart/iShares-Core-MSCI-World-ETF-IE00B4L5Y983" TargetMode="External"/><Relationship Id="rId46" Type="http://schemas.openxmlformats.org/officeDocument/2006/relationships/hyperlink" Target="https://www.finanz-tools.de/inflation/inflationsraten-deutschland" TargetMode="External"/><Relationship Id="rId59" Type="http://schemas.openxmlformats.org/officeDocument/2006/relationships/hyperlink" Target="https://studyflix.de/statistik/arithmetisches-mittel-150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Words>
  <Characters>12015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Klaus-Günter Häusler</dc:creator>
  <cp:lastModifiedBy>Klaus-Günter Häusler</cp:lastModifiedBy>
  <cp:revision>3</cp:revision>
  <dcterms:created xsi:type="dcterms:W3CDTF">2024-09-12T14:36:00Z</dcterms:created>
  <dcterms:modified xsi:type="dcterms:W3CDTF">2024-12-26T09:34:00Z</dcterms:modified>
</cp:coreProperties>
</file>